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Madame CHARBONNIER Ellen , 403 chemin de la creche 46000 Cahors-  -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 avoir, grâce à l'intervention de l'Agence Immobilière Quercy transactions, visité le bien désigné ci-après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CA6832 - 8 impasse Jean Moulin - 46090 PRADINES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t xml:space="preserve">Proche Cahors 1ere périphérie desservie par les bus gratuits, avec toutes commodités et services, dans un quartier résidentiel, maison contemporaine avec jardin et garage. RDC : séjour, cuisine équipée, chambre, salle d'eau, wc, cellier, garage, terrasse et jardin clos. Etage : 3 chambres avec placards, salle de bains et wc. Petit cabanon de 8 m² dans le jardin. Chauffage au gaz de ville. Tout à l'égout. Les informations sur les risques auxquels ce bien est exposé sont disponibles sur le site Géorisques www.georisques.gouv.fr</w:t>
        <w:br w:type="textWrapping"/>
      </w:r>
      <w:r>
        <w:br w:type="textWrapping"/>
      </w:r>
      <w:r>
        <w:br w:type="textWrapping"/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l'indivision Perez  Fabrice Cédric et Patrick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 propose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165 000 € (CENT SOIXANTE CINQ MILLE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Pret relai vu avec ma banque ( capacite vu avec le banquier 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 25/10/2024pour la réponse des vendeurs. en cas d'accord , une promesse sera signée , mon notaire sera Maitre nathalie Arnoux 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12 octobre 2024,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165 000 € (CENT SOIXANTE CINQ MILLE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