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28 septembre 2024, un(e) Maison Contemporaine sis 385 pech de lagarde 46090 Bellefont la Rauze appartenant à Indivision Gratadour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Commune de bellefont la rauze. Maison contemporaine en lotissement d'environ 76 m² de surface habitable sur un terrain clos d'environ 1800 m². Rez de jardin : garage, 2 caves. Rez de chaussée : terrasse. Cuisine, séjour avec poêle à bois, wc, 3 chambres, salle de bains. Chauffage électrique et poêle à bois. Fenêtres bois double vitrage (1980). Assainissement individuel (non conforme) Les informations sur les risques auxquels ce bien est exposé sont disponibles sur le site Géorisques </w:t>
      </w:r>
      <w:r>
        <w:rPr>
          <w:color w:val="0000FF"/>
          <w:sz w:val="22"/>
          <w:u w:val="single"/>
        </w:rPr>
        <w:t xml:space="preserve">www.georisques.gouv.fr </w:t>
      </w:r>
      <w:r>
        <w:rPr>
          <w:sz w:val="22"/>
        </w:rPr>
        <w:t xml:space="preserve">  Parcelle- B -n° 1302 - 1 803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 Hameau Rez de Jardin: 2 Caves 32,13 -29,92 - m² Garage 28,80 m² Terrasse 20 m² Rez de chaussée: 3 Chambres 10 - 10,72 - 9,38 - m² Couloir 3,83 m² Cuisine 10,28 m² Séjour 27,11 m² Salle de bains 4,57 m² WC 0,90 m²</w:t>
      </w:r>
    </w:p>
    <w:p>
      <w:pPr>
        <w:pStyle w:val="Type de détail"/>
        <w:numPr>
          <w:ilvl w:val="0"/>
          <w:numId w:val="0"/>
        </w:numPr>
        <w:tabs>
          <w:tab w:val="left" w:pos="15876"/>
          <w:tab w:val="clear" w:pos="360"/>
        </w:tabs>
        <w:ind w:left="0" w:firstLine="0"/>
        <w:rPr>
          <w:sz w:val="22"/>
        </w:rPr>
      </w:pPr>
      <w:r>
        <w:rPr>
          <w:sz w:val="22"/>
        </w:rPr>
        <w:t xml:space="preserve">Chauffage: </w:t>
      </w:r>
      <w:r>
        <w:rPr>
          <w:b w:val="off"/>
          <w:sz w:val="22"/>
        </w:rPr>
        <w:t xml:space="preserve">Electrique + bois poêle</w:t>
      </w:r>
      <w:r>
        <w:rPr>
          <w:sz w:val="22"/>
        </w:rPr>
        <w:t xml:space="preserve"> Equipements divers:</w:t>
      </w:r>
      <w:r>
        <w:rPr>
          <w:b w:val="off"/>
          <w:sz w:val="22"/>
        </w:rPr>
        <w:t xml:space="preserve"> Double vitrage 1980</w:t>
      </w:r>
    </w:p>
    <w:p>
      <w:pPr>
        <w:pStyle w:val="Détail"/>
        <w:numPr>
          <w:ilvl w:val="0"/>
          <w:numId w:val="0"/>
        </w:numPr>
        <w:tabs>
          <w:tab w:val="left" w:pos="15876"/>
          <w:tab w:val="clear" w:pos="360"/>
        </w:tabs>
        <w:ind w:left="0" w:firstLine="0"/>
        <w:rPr>
          <w:sz w:val="22"/>
        </w:rPr>
      </w:pPr>
      <w:r>
        <w:rPr>
          <w:sz w:val="22"/>
        </w:rPr>
        <w:t xml:space="preserve">Fosse septique non conforme  </w:t>
      </w:r>
      <w:r>
        <w:rPr>
          <w:b w:val="on"/>
          <w:sz w:val="22"/>
        </w:rPr>
        <w:t xml:space="preserve">Fenêtres:</w:t>
      </w:r>
      <w:r>
        <w:rPr>
          <w:sz w:val="22"/>
        </w:rPr>
        <w:t xml:space="preserve"> Bois Double vitrage (1980)</w:t>
      </w:r>
      <w:r>
        <w:rPr>
          <w:b w:val="on"/>
          <w:sz w:val="22"/>
        </w:rPr>
        <w:t xml:space="preserve"> Volets</w:t>
      </w:r>
      <w:r>
        <w:rPr>
          <w:sz w:val="22"/>
        </w:rPr>
        <w:t xml:space="preserve"> bois</w:t>
      </w:r>
    </w:p>
    <w:p>
      <w:pPr>
        <w:pStyle w:val="Type de détail"/>
        <w:numPr>
          <w:ilvl w:val="0"/>
          <w:numId w:val="0"/>
        </w:numPr>
        <w:tabs>
          <w:tab w:val="left" w:pos="15876"/>
          <w:tab w:val="clear" w:pos="360"/>
        </w:tabs>
        <w:ind w:left="0" w:firstLine="0"/>
        <w:rPr>
          <w:sz w:val="22"/>
        </w:rPr>
      </w:pPr>
      <w:r>
        <w:rPr>
          <w:sz w:val="22"/>
        </w:rPr>
        <w:t xml:space="preserve">Terrain: </w:t>
      </w:r>
      <w:r>
        <w:rPr>
          <w:b w:val="off"/>
          <w:sz w:val="22"/>
        </w:rPr>
        <w:t xml:space="preserve">Arboré Cloturé</w:t>
      </w:r>
      <w:r>
        <w:rPr>
          <w:sz w:val="22"/>
        </w:rPr>
        <w:t xml:space="preserve"> Toiture: </w:t>
      </w:r>
      <w:r>
        <w:rPr>
          <w:b w:val="off"/>
          <w:sz w:val="22"/>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145 000 €</w:t>
      </w:r>
      <w:r>
        <w:rPr>
          <w:sz w:val="22"/>
        </w:rPr>
        <w:t xml:space="preserve"> (</w:t>
      </w:r>
      <w:r>
        <w:rPr>
          <w:b w:val="on"/>
          <w:sz w:val="22"/>
        </w:rPr>
        <w:t xml:space="preserve">CENT QUARANTE-CINQ MILLE EUROS</w:t>
      </w:r>
      <w:r>
        <w:rPr>
          <w:sz w:val="22"/>
        </w:rPr>
        <w:t xml:space="preserve">) et </w:t>
      </w:r>
      <w:r>
        <w:rPr>
          <w:b w:val="on"/>
          <w:sz w:val="22"/>
        </w:rPr>
        <w:t xml:space="preserve">150 000 €</w:t>
      </w:r>
      <w:r>
        <w:rPr>
          <w:sz w:val="22"/>
        </w:rPr>
        <w:t xml:space="preserve"> (</w:t>
      </w:r>
      <w:r>
        <w:rPr>
          <w:b w:val="on"/>
          <w:sz w:val="22"/>
        </w:rPr>
        <w:t xml:space="preserve">CENT CINQUANTE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