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4370" cy="32308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4370" cy="323088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Cahors1ére périphérie proche des commerce et bus. Maison contemporaine avec piscine d'environ 190 m² de surface habitable sur environ 2600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 </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328 600 €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310 000 €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190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2 314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13 m²</w:t>
                  </w:r>
                </w:p>
                <w:p>
                  <w:pPr>
                    <w:pStyle w:val="Détail"/>
                  </w:pPr>
                  <w:r>
                    <w:t xml:space="preserve">Buanderie 13,38 m²</w:t>
                  </w:r>
                </w:p>
                <w:p>
                  <w:pPr>
                    <w:pStyle w:val="Détail"/>
                  </w:pPr>
                  <w:r>
                    <w:t xml:space="preserve">Cave 8 m²</w:t>
                  </w:r>
                </w:p>
                <w:p>
                  <w:pPr>
                    <w:pStyle w:val="Détail"/>
                  </w:pPr>
                  <w:r>
                    <w:t xml:space="preserve">Chambre 15,62 m² avec cabinet de toilette 2,71 m²</w:t>
                  </w:r>
                </w:p>
                <w:p>
                  <w:pPr>
                    <w:pStyle w:val="Détail"/>
                  </w:pPr>
                  <w:r>
                    <w:t xml:space="preserve">Garage 42 m²</w:t>
                  </w:r>
                </w:p>
                <w:p>
                  <w:pPr>
                    <w:pStyle w:val="Détail"/>
                  </w:pPr>
                  <w:r>
                    <w:t xml:space="preserve">Hall d'entrée 11,42 m²</w:t>
                  </w:r>
                </w:p>
                <w:p>
                  <w:pPr>
                    <w:pStyle w:val="Détail"/>
                  </w:pPr>
                  <w:r>
                    <w:t xml:space="preserve">Terrasse 100 m² couverte</w:t>
                  </w:r>
                </w:p>
                <w:p>
                  <w:pPr>
                    <w:pStyle w:val="Détail"/>
                  </w:pPr>
                  <w:r>
                    <w:t xml:space="preserve">WC</w:t>
                  </w:r>
                </w:p>
                <w:p>
                  <w:pPr>
                    <w:pStyle w:val="Type de détail"/>
                  </w:pPr>
                  <w:r>
                    <w:t xml:space="preserve">Rez de chaussée:</w:t>
                  </w:r>
                </w:p>
                <w:p>
                  <w:pPr>
                    <w:pStyle w:val="Détail"/>
                  </w:pPr>
                  <w:r>
                    <w:t xml:space="preserve">Chambre 12,59 -</w:t>
                  </w:r>
                </w:p>
                <w:p>
                  <w:pPr>
                    <w:pStyle w:val="Détail"/>
                  </w:pPr>
                  <w:r>
                    <w:t xml:space="preserve">Cuisine indépendante 15 m²</w:t>
                  </w:r>
                </w:p>
                <w:p>
                  <w:pPr>
                    <w:pStyle w:val="Détail"/>
                  </w:pPr>
                  <w:r>
                    <w:t xml:space="preserve">Hall d'entrée 18,40 m²</w:t>
                  </w:r>
                </w:p>
                <w:p>
                  <w:pPr>
                    <w:pStyle w:val="Détail"/>
                  </w:pPr>
                  <w:r>
                    <w:t xml:space="preserve">Séjour avec cheminée 52 m²</w:t>
                  </w:r>
                </w:p>
                <w:p>
                  <w:pPr>
                    <w:pStyle w:val="Détail"/>
                  </w:pPr>
                  <w:r>
                    <w:t xml:space="preserve">Salle d'eau 10 m²</w:t>
                  </w:r>
                </w:p>
                <w:p>
                  <w:pPr>
                    <w:pStyle w:val="Détail"/>
                  </w:pPr>
                  <w:r>
                    <w:t xml:space="preserve">Terrasse 30 m² couverte</w:t>
                  </w:r>
                </w:p>
                <w:p>
                  <w:pPr>
                    <w:pStyle w:val="Détail"/>
                  </w:pPr>
                  <w:r>
                    <w:t xml:space="preserve">WC 2,14 m²</w:t>
                  </w:r>
                </w:p>
                <w:p>
                  <w:pPr>
                    <w:pStyle w:val="Type de détail"/>
                  </w:pPr>
                  <w:r>
                    <w:t xml:space="preserve">1er étage:</w:t>
                  </w:r>
                </w:p>
                <w:p>
                  <w:pPr>
                    <w:pStyle w:val="Détail"/>
                  </w:pPr>
                  <w:r>
                    <w:t xml:space="preserve">2 Chambres 12,44 - 13,60 - m²</w:t>
                  </w:r>
                </w:p>
                <w:p>
                  <w:pPr>
                    <w:pStyle w:val="Détail"/>
                  </w:pPr>
                  <w:r>
                    <w:t xml:space="preserve">Couloir avec grand placard 10,63 m²</w:t>
                  </w:r>
                </w:p>
                <w:p>
                  <w:pPr>
                    <w:pStyle w:val="Détail"/>
                  </w:pPr>
                  <w:r>
                    <w:t xml:space="preserve">Salle d'eau 5,54 m²</w:t>
                  </w:r>
                </w:p>
                <w:p>
                  <w:pPr>
                    <w:pStyle w:val="Détail"/>
                  </w:pPr>
                  <w:r>
                    <w:t xml:space="preserve">WC 1,55 m²</w:t>
                  </w:r>
                </w:p>
                <w:p>
                  <w:pPr>
                    <w:pStyle w:val="Type de détail"/>
                  </w:pPr>
                  <w:r>
                    <w:t xml:space="preserve">Dépendances:</w:t>
                  </w:r>
                </w:p>
                <w:p>
                  <w:pPr>
                    <w:pStyle w:val="Détail"/>
                  </w:pPr>
                  <w:r>
                    <w:t xml:space="preserve">Local rangement 10 m²</w:t>
                  </w:r>
                </w:p>
                <w:p>
                  <w:pPr>
                    <w:pStyle w:val="Détail"/>
                  </w:pPr>
                  <w:r>
                    <w:t xml:space="preserve">pool house</w:t>
                  </w:r>
                </w:p>
                <w:p>
                  <w:pPr>
                    <w:pStyle w:val="Type de détail"/>
                  </w:pPr>
                  <w:r>
                    <w:t xml:space="preserve">Chauffage:</w:t>
                  </w:r>
                </w:p>
                <w:p>
                  <w:pPr>
                    <w:pStyle w:val="Détail"/>
                  </w:pPr>
                  <w:r>
                    <w:t xml:space="preserve">bois cheminée</w:t>
                  </w:r>
                </w:p>
                <w:p>
                  <w:pPr>
                    <w:pStyle w:val="Détail"/>
                  </w:pPr>
                  <w:r>
                    <w:t xml:space="preserve">CC Gaz</w:t>
                  </w:r>
                </w:p>
                <w:p>
                  <w:pPr>
                    <w:pStyle w:val="Détail"/>
                  </w:pPr>
                  <w:r>
                    <w:t xml:space="preserve">Climatisation réversible séjour et chambre rdc</w:t>
                  </w:r>
                </w:p>
                <w:p>
                  <w:pPr>
                    <w:pStyle w:val="Type de détail"/>
                  </w:pPr>
                  <w:r>
                    <w:t xml:space="preserve">Equipements de Cuisine:</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Four à micro-ondes</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2005</w:t>
                  </w:r>
                </w:p>
                <w:p>
                  <w:pPr>
                    <w:pStyle w:val="Détail"/>
                  </w:pPr>
                  <w:r>
                    <w:t xml:space="preserve">Double vitrage</w:t>
                  </w:r>
                </w:p>
                <w:p>
                  <w:pPr>
                    <w:pStyle w:val="Détail"/>
                  </w:pPr>
                  <w:r>
                    <w:t xml:space="preserve">Tout à l'égout</w:t>
                  </w:r>
                </w:p>
                <w:p>
                  <w:pPr>
                    <w:pStyle w:val="Détail"/>
                  </w:pPr>
                  <w:r>
                    <w:t xml:space="preserve">Gaz de ville</w:t>
                  </w:r>
                </w:p>
                <w:p>
                  <w:pPr>
                    <w:pStyle w:val="Détail"/>
                  </w:pPr>
                  <w:r>
                    <w:t xml:space="preserve">Cheminée</w:t>
                  </w:r>
                </w:p>
                <w:p>
                  <w:pPr>
                    <w:pStyle w:val="Type de détail"/>
                  </w:pPr>
                  <w:r>
                    <w:t xml:space="preserve">Equipements Electrique:</w:t>
                  </w:r>
                </w:p>
                <w:p>
                  <w:pPr>
                    <w:pStyle w:val="Détail"/>
                  </w:pPr>
                  <w:r>
                    <w:t xml:space="preserve">Câble TV</w:t>
                  </w:r>
                </w:p>
                <w:p>
                  <w:pPr>
                    <w:pStyle w:val="Détail"/>
                  </w:pPr>
                  <w:r>
                    <w:t xml:space="preserve">Interphone</w:t>
                  </w:r>
                </w:p>
                <w:p>
                  <w:pPr>
                    <w:pStyle w:val="Détail"/>
                  </w:pPr>
                  <w:r>
                    <w:t xml:space="preserve">Portail électrique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au Sel 9X4,5</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