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2156460" cy="16459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6460" cy="164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885950" cy="125285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252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57045" cy="12725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7045" cy="1272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885950" cy="128651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286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MARTEL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Sur le secteur de Martel, Vallée Dordogne, Sur un parc d'un hectare en situation dominante et très calme, cette magnifique maison de Maître du 18ème siècle ( construction commencée en 1719) entièrement renovée en 1998 avec goût  et savoir faire, distribue sur 370m² environ :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En RDC : Sur 135m² les pièces de jour (Cuisine , salle à manger, salon, bibliothèque) ont conservé tout le charme des vieux logis ( sol en pisé, en dalles de pierre ou en tomettes, grandes cheminées, poutres, souillarde voutée, évier en pierre, niches etc.) chambre avec sortie indépendante, salle de bains, 2 wc.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 l'étage : 5 Grandes chambres  ( dont une en suite) avec accès sur coursive extérieure couverte,  et grands couloirs, 2 salles de bains, une salle d'eau  3 wc.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Au second : 1 Chambre, 1 grand grenier.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En rez de jardin: Chaufferie et cellier et cave.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Piscine 6x12 au sel sécurisée (barrière métal aux normes + volet électrique de surface) avec vaste plage.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Chaufage Fuel + PAC haute température. (Mise en route à distance par modem possible.)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Isolation thermique et phonique.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Alarme avec télé transmission.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parc de 1ha.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VIDEO DRONE ET VISITE VIRTUELLE CAMERA 3D DISPONIBLES SUR DEMANDE.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884 000 €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4,00%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850 000 €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SUD1569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370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10 121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13/05/2024,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4 370,00 €,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5 960,00 €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