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16 septembre 2024, une Maison d'habitation  sise 80 rue martin Baudel 46000 CAHORS 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Mme Faure Colette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Quartier Saint Namphaise.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de construction traditionnelle élevée sur deux niveaux , developpant environ 180 m² de surface habitable.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Implantée sur une parcelle cadastrée BP223 pour 707 m² , le jardin est clos, arboré et parfaitement entretenu.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central gaz de ville , air conditionné à l'étage.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est en trés bon état.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179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Cadastre:   </w:t>
      </w:r>
      <w:r>
        <w:rPr>
          <w:b w:val="on"/>
          <w:color w:val="000000"/>
        </w:rPr>
        <w:t xml:space="preserve">BP223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Situation du bien:</w:t>
      </w:r>
    </w:p>
    <w:p>
      <w:pPr>
        <w:pStyle w:val="Détail"/>
        <w:numPr>
          <w:ilvl w:val="0"/>
          <w:numId w:val="4"/>
        </w:numPr>
        <w:rPr>
          <w:sz w:val="20"/>
        </w:rPr>
      </w:pPr>
      <w:r>
        <w:rPr>
          <w:sz w:val="20"/>
        </w:rPr>
        <w:t xml:space="preserve">Centre-Ville Quartier St Namphaise</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 appenti fermé  30m²</w:t>
      </w:r>
    </w:p>
    <w:p>
      <w:pPr>
        <w:pStyle w:val="Détail"/>
        <w:numPr>
          <w:ilvl w:val="0"/>
          <w:numId w:val="4"/>
        </w:numPr>
        <w:rPr>
          <w:sz w:val="20"/>
        </w:rPr>
      </w:pPr>
      <w:r>
        <w:rPr>
          <w:sz w:val="20"/>
        </w:rPr>
        <w:t xml:space="preserve">Buanderie 9,31m²</w:t>
      </w:r>
    </w:p>
    <w:p>
      <w:pPr>
        <w:pStyle w:val="Détail"/>
        <w:numPr>
          <w:ilvl w:val="0"/>
          <w:numId w:val="4"/>
        </w:numPr>
        <w:rPr>
          <w:sz w:val="20"/>
        </w:rPr>
      </w:pPr>
      <w:r>
        <w:rPr>
          <w:sz w:val="20"/>
        </w:rPr>
        <w:t xml:space="preserve">Bureau 10,86m²</w:t>
      </w:r>
    </w:p>
    <w:p>
      <w:pPr>
        <w:pStyle w:val="Détail"/>
        <w:numPr>
          <w:ilvl w:val="0"/>
          <w:numId w:val="4"/>
        </w:numPr>
        <w:rPr>
          <w:sz w:val="20"/>
        </w:rPr>
      </w:pPr>
      <w:r>
        <w:rPr>
          <w:sz w:val="20"/>
        </w:rPr>
        <w:t xml:space="preserve">Cellier 4m²</w:t>
      </w:r>
    </w:p>
    <w:p>
      <w:pPr>
        <w:pStyle w:val="Détail"/>
        <w:numPr>
          <w:ilvl w:val="0"/>
          <w:numId w:val="4"/>
        </w:numPr>
        <w:rPr>
          <w:sz w:val="20"/>
        </w:rPr>
      </w:pPr>
      <w:r>
        <w:rPr>
          <w:sz w:val="20"/>
        </w:rPr>
        <w:t xml:space="preserve">2 Chambres 14,37/21,27m²</w:t>
      </w:r>
    </w:p>
    <w:p>
      <w:pPr>
        <w:pStyle w:val="Détail"/>
        <w:numPr>
          <w:ilvl w:val="0"/>
          <w:numId w:val="4"/>
        </w:numPr>
        <w:rPr>
          <w:sz w:val="20"/>
        </w:rPr>
      </w:pPr>
      <w:r>
        <w:rPr>
          <w:sz w:val="20"/>
        </w:rPr>
        <w:t xml:space="preserve">Garage 18m²</w:t>
      </w:r>
    </w:p>
    <w:p>
      <w:pPr>
        <w:pStyle w:val="Détail"/>
        <w:numPr>
          <w:ilvl w:val="0"/>
          <w:numId w:val="4"/>
        </w:numPr>
        <w:rPr>
          <w:sz w:val="20"/>
        </w:rPr>
      </w:pPr>
      <w:r>
        <w:rPr>
          <w:sz w:val="20"/>
        </w:rPr>
        <w:t xml:space="preserve">Salle d'eau</w:t>
      </w:r>
    </w:p>
    <w:p>
      <w:pPr>
        <w:pStyle w:val="Détail"/>
        <w:numPr>
          <w:ilvl w:val="0"/>
          <w:numId w:val="4"/>
        </w:numPr>
        <w:rPr>
          <w:sz w:val="20"/>
        </w:rPr>
      </w:pPr>
      <w:r>
        <w:rPr>
          <w:sz w:val="20"/>
        </w:rPr>
        <w:t xml:space="preserve">WC 1,47m²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2 Chambres 13,50/14,22m²</w:t>
      </w:r>
    </w:p>
    <w:p>
      <w:pPr>
        <w:pStyle w:val="Détail"/>
        <w:numPr>
          <w:ilvl w:val="0"/>
          <w:numId w:val="4"/>
        </w:numPr>
        <w:rPr>
          <w:sz w:val="20"/>
        </w:rPr>
      </w:pPr>
      <w:r>
        <w:rPr>
          <w:sz w:val="20"/>
        </w:rPr>
        <w:t xml:space="preserve">Couloir 13,60m²</w:t>
      </w:r>
    </w:p>
    <w:p>
      <w:pPr>
        <w:pStyle w:val="Détail"/>
        <w:numPr>
          <w:ilvl w:val="0"/>
          <w:numId w:val="4"/>
        </w:numPr>
        <w:rPr>
          <w:sz w:val="20"/>
        </w:rPr>
      </w:pPr>
      <w:r>
        <w:rPr>
          <w:sz w:val="20"/>
        </w:rPr>
        <w:t xml:space="preserve">Cuisine 17m²</w:t>
      </w:r>
    </w:p>
    <w:p>
      <w:pPr>
        <w:pStyle w:val="Détail"/>
        <w:numPr>
          <w:ilvl w:val="0"/>
          <w:numId w:val="4"/>
        </w:numPr>
        <w:rPr>
          <w:sz w:val="20"/>
        </w:rPr>
      </w:pPr>
      <w:r>
        <w:rPr>
          <w:sz w:val="20"/>
        </w:rPr>
        <w:t xml:space="preserve">Salle à manger 13,67m²</w:t>
      </w:r>
    </w:p>
    <w:p>
      <w:pPr>
        <w:pStyle w:val="Détail"/>
        <w:numPr>
          <w:ilvl w:val="0"/>
          <w:numId w:val="4"/>
        </w:numPr>
        <w:rPr>
          <w:sz w:val="20"/>
        </w:rPr>
      </w:pPr>
      <w:r>
        <w:rPr>
          <w:sz w:val="20"/>
        </w:rPr>
        <w:t xml:space="preserve">Salle d'eau 4,56m²</w:t>
      </w:r>
    </w:p>
    <w:p>
      <w:pPr>
        <w:pStyle w:val="Détail"/>
        <w:numPr>
          <w:ilvl w:val="0"/>
          <w:numId w:val="4"/>
        </w:numPr>
        <w:rPr>
          <w:sz w:val="20"/>
        </w:rPr>
      </w:pPr>
      <w:r>
        <w:rPr>
          <w:sz w:val="20"/>
        </w:rPr>
        <w:t xml:space="preserve">Salon 21,54m²</w:t>
      </w:r>
    </w:p>
    <w:p>
      <w:pPr>
        <w:pStyle w:val="Détail"/>
        <w:numPr>
          <w:ilvl w:val="0"/>
          <w:numId w:val="4"/>
        </w:numPr>
        <w:rPr>
          <w:sz w:val="20"/>
        </w:rPr>
      </w:pPr>
      <w:r>
        <w:rPr>
          <w:sz w:val="20"/>
        </w:rPr>
        <w:t xml:space="preserve">Terrasse 10m² avec store électrique</w:t>
      </w:r>
    </w:p>
    <w:p>
      <w:pPr>
        <w:pStyle w:val="Détail"/>
        <w:numPr>
          <w:ilvl w:val="0"/>
          <w:numId w:val="4"/>
        </w:numPr>
        <w:rPr>
          <w:sz w:val="20"/>
        </w:rPr>
      </w:pPr>
      <w:r>
        <w:rPr>
          <w:sz w:val="20"/>
        </w:rPr>
        <w:t xml:space="preserve">WC 1,90m²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FOURNIE</w:t>
      </w:r>
    </w:p>
    <w:p>
      <w:pPr>
        <w:pStyle w:val="Détail"/>
        <w:numPr>
          <w:ilvl w:val="0"/>
          <w:numId w:val="4"/>
        </w:numPr>
        <w:rPr>
          <w:sz w:val="20"/>
        </w:rPr>
      </w:pPr>
      <w:r>
        <w:rPr>
          <w:sz w:val="20"/>
        </w:rPr>
        <w:t xml:space="preserve">Emission de gaz à effet de serre NON FOURNIE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  de ville</w:t>
      </w:r>
    </w:p>
    <w:p>
      <w:pPr>
        <w:pStyle w:val="Détail"/>
        <w:numPr>
          <w:ilvl w:val="0"/>
          <w:numId w:val="4"/>
        </w:numPr>
        <w:rPr>
          <w:sz w:val="20"/>
        </w:rPr>
      </w:pPr>
      <w:r>
        <w:rPr>
          <w:sz w:val="20"/>
        </w:rPr>
        <w:t xml:space="preserve">Climatisation réversible à l'étage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Air conditionné</w:t>
      </w:r>
    </w:p>
    <w:p>
      <w:pPr>
        <w:pStyle w:val="Détail"/>
        <w:numPr>
          <w:ilvl w:val="0"/>
          <w:numId w:val="4"/>
        </w:numPr>
        <w:rPr>
          <w:sz w:val="20"/>
        </w:rPr>
      </w:pPr>
      <w:r>
        <w:rPr>
          <w:sz w:val="20"/>
        </w:rPr>
        <w:t xml:space="preserve">Tout à l'égout</w:t>
      </w:r>
    </w:p>
    <w:p>
      <w:pPr>
        <w:pStyle w:val="Détail"/>
        <w:numPr>
          <w:ilvl w:val="0"/>
          <w:numId w:val="4"/>
        </w:numPr>
        <w:rPr>
          <w:sz w:val="20"/>
        </w:rPr>
      </w:pPr>
      <w:r>
        <w:rPr>
          <w:sz w:val="20"/>
        </w:rPr>
        <w:t xml:space="preserve">Gaz de ville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 double vitrage</w:t>
      </w:r>
    </w:p>
    <w:p>
      <w:pPr>
        <w:pStyle w:val="Détail"/>
        <w:numPr>
          <w:ilvl w:val="0"/>
          <w:numId w:val="4"/>
        </w:numPr>
        <w:rPr>
          <w:sz w:val="20"/>
        </w:rPr>
      </w:pPr>
      <w:r>
        <w:rPr>
          <w:sz w:val="20"/>
        </w:rPr>
        <w:t xml:space="preserve">Bois double vitrage</w:t>
      </w:r>
    </w:p>
    <w:p>
      <w:pPr>
        <w:pStyle w:val="Détail"/>
        <w:numPr>
          <w:ilvl w:val="0"/>
          <w:numId w:val="4"/>
        </w:numPr>
        <w:rPr>
          <w:sz w:val="20"/>
        </w:rPr>
      </w:pPr>
      <w:r>
        <w:rPr>
          <w:sz w:val="20"/>
        </w:rPr>
        <w:t xml:space="preserve">PVC double vitrage</w:t>
      </w:r>
    </w:p>
    <w:p>
      <w:pPr>
        <w:pStyle w:val="Détail"/>
        <w:numPr>
          <w:ilvl w:val="0"/>
          <w:numId w:val="4"/>
        </w:numPr>
        <w:rPr>
          <w:sz w:val="20"/>
        </w:rPr>
      </w:pPr>
      <w:r>
        <w:rPr>
          <w:sz w:val="20"/>
        </w:rPr>
        <w:t xml:space="preserve">Volets roulants électriques</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Cloturé</w:t>
      </w:r>
    </w:p>
    <w:p>
      <w:pPr>
        <w:pStyle w:val="Détail"/>
        <w:numPr>
          <w:ilvl w:val="0"/>
          <w:numId w:val="4"/>
        </w:numPr>
        <w:rPr>
          <w:sz w:val="20"/>
        </w:rPr>
      </w:pPr>
      <w:r>
        <w:rPr>
          <w:sz w:val="20"/>
        </w:rPr>
        <w:t xml:space="preserve">Portail</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avec charpente traditionnelle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240 000 €</w:t>
      </w:r>
      <w:r>
        <w:rPr>
          <w:sz w:val="24"/>
        </w:rPr>
        <w:t xml:space="preserve"> (</w:t>
      </w:r>
      <w:r>
        <w:rPr>
          <w:b w:val="on"/>
          <w:sz w:val="24"/>
        </w:rPr>
        <w:t xml:space="preserve">DEUX CENT QUARANTE MILLE EUROS</w:t>
      </w:r>
      <w:r>
        <w:rPr>
          <w:sz w:val="24"/>
        </w:rPr>
        <w:t xml:space="preserve">) et </w:t>
      </w:r>
      <w:r>
        <w:rPr>
          <w:b w:val="on"/>
          <w:sz w:val="24"/>
        </w:rPr>
        <w:t xml:space="preserve">250 000 €</w:t>
      </w:r>
      <w:r>
        <w:rPr>
          <w:sz w:val="24"/>
        </w:rPr>
        <w:t xml:space="preserve"> (</w:t>
      </w:r>
      <w:r>
        <w:rPr>
          <w:b w:val="on"/>
          <w:sz w:val="24"/>
        </w:rPr>
        <w:t xml:space="preserve">DEUX CENT CINQUANTE MILLE EUROS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immobilières obligatoires :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