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6 871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05/02/2024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 Avenue Charles Freycinet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2011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rue. Alarme Vérisur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COUDERC Jean jacques et Marie</w:t>
            </w:r>
          </w:p>
          <w:p>
            <w:pPr>
              <w:pStyle w:val="[Normal]"/>
              <w:jc w:val="center"/>
            </w:pPr>
            <w:r>
              <w:t xml:space="preserve">11 Avenue Charles freycinet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 </w:t>
      </w:r>
      <w:r>
        <w:t xml:space="preserve">Le nouveau prix demandé - hors rémunération du mandataire - est de </w:t>
      </w:r>
      <w:r>
        <w:rPr>
          <w:b w:val="on"/>
        </w:rPr>
        <w:t xml:space="preserve">440 000 € (QUATRE CENT 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 </w:t>
      </w:r>
      <w:r>
        <w:t xml:space="preserve">En cas de réalisation de l'opération avec un acheteur présenté par le mandataire ou un mandataire substitué, le mandataire aura droit à une rémunération fixée à 22 000 € (VINGT-DEUX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6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