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05 septembre 2024, un(e) Maison Contemporaine sis 46 Avenue saint Pierre 46090 SAINT-PIERRE-LAFEUILLE appartenant à Indivision ROBIN S/C UDAF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Proche de Cahors maison plain-pied de 1976 d'environ 116 m² de surface habitable sur un terrain de 4462 m². Rez de jardin : 3 garages, chaufferie, cave. Rez de chaussée : entrée, séjour avec cheminée insert, cuisine wc, salle d'eau, 2 chambres, véranda. 2 chambres indépendantes avec salle d'eau et wc. Chauffage central électrique. Fenêtres bois simple vitrage, volets bois. Assainissement individuel (non conforme)  Parcelle C- 435 Les informations sur les risques auquel ce bien est exposé sont disponibles sur le site Géorisques </w:t>
      </w:r>
      <w:r>
        <w:rPr>
          <w:color w:val="0000FF"/>
          <w:u w:val="single"/>
        </w:rPr>
        <w:t xml:space="preserve">www.georisques.gouv.fr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 Situation du bien: </w:t>
      </w:r>
      <w:r>
        <w:rPr>
          <w:sz w:val="24"/>
        </w:rPr>
        <w:t xml:space="preserve">Campagne non isolée</w:t>
      </w:r>
      <w:r>
        <w:rPr>
          <w:b w:val="on"/>
          <w:sz w:val="24"/>
        </w:rPr>
        <w:t xml:space="preserve"> Rez de Jardin: </w:t>
      </w:r>
      <w:r>
        <w:rPr>
          <w:sz w:val="24"/>
        </w:rPr>
        <w:t xml:space="preserve">Cave 11,97 m² Chaufferie 8,91 m² 3 Garages 16,37 - 34,86 - 34,93 - m²</w:t>
      </w:r>
      <w:r>
        <w:rPr>
          <w:b w:val="on"/>
          <w:sz w:val="24"/>
        </w:rPr>
        <w:t xml:space="preserve"> Rez de chaussée:</w:t>
      </w:r>
      <w:r>
        <w:rPr>
          <w:sz w:val="24"/>
        </w:rPr>
        <w:t xml:space="preserve"> 4 Chambres 14,50 - 14,20 - 13,82 - 13,69 - m² Cuisine 12,10 m² Hall d'entrée 7,30 m² Séjour cheminée insert 20,81 m² 3 Salles d'eau 4,13 - 4,18- 2,94 - m² 3 WC 1,94 m² </w:t>
      </w:r>
      <w:r>
        <w:rPr>
          <w:b w:val="on"/>
          <w:sz w:val="24"/>
        </w:rPr>
        <w:t xml:space="preserve">Chauffage: </w:t>
      </w:r>
      <w:r>
        <w:rPr>
          <w:sz w:val="24"/>
        </w:rPr>
        <w:t xml:space="preserve">Electrique + bois   </w:t>
      </w:r>
      <w:r>
        <w:rPr>
          <w:b w:val="on"/>
          <w:sz w:val="24"/>
        </w:rPr>
        <w:t xml:space="preserve">Equipements divers:</w:t>
      </w:r>
      <w:r>
        <w:rPr>
          <w:sz w:val="24"/>
        </w:rPr>
        <w:t xml:space="preserve"> Fosse septique(non conforme)  Cheminée insert </w:t>
      </w:r>
      <w:r>
        <w:rPr>
          <w:b w:val="on"/>
          <w:sz w:val="24"/>
        </w:rPr>
        <w:t xml:space="preserve">Fenêtres</w:t>
      </w:r>
      <w:r>
        <w:rPr>
          <w:sz w:val="24"/>
        </w:rPr>
        <w:t xml:space="preserve">: Bois simple vitrage; </w:t>
      </w:r>
      <w:r>
        <w:rPr>
          <w:b w:val="on"/>
          <w:sz w:val="24"/>
        </w:rPr>
        <w:t xml:space="preserve">Volets</w:t>
      </w:r>
      <w:r>
        <w:rPr>
          <w:sz w:val="24"/>
        </w:rPr>
        <w:t xml:space="preserve"> bois  </w:t>
      </w:r>
      <w:r>
        <w:rPr>
          <w:b w:val="on"/>
          <w:sz w:val="24"/>
        </w:rPr>
        <w:t xml:space="preserve">Terrain</w:t>
      </w:r>
      <w:r>
        <w:rPr>
          <w:sz w:val="24"/>
        </w:rPr>
        <w:t xml:space="preserve">: Arboré; </w:t>
      </w:r>
      <w:r>
        <w:rPr>
          <w:b w:val="on"/>
          <w:sz w:val="24"/>
        </w:rPr>
        <w:t xml:space="preserve">Toiture: </w:t>
      </w:r>
      <w:r>
        <w:rPr>
          <w:sz w:val="24"/>
        </w:rPr>
        <w:t xml:space="preserve">Tuiles </w:t>
      </w:r>
      <w:r>
        <w:rPr>
          <w:b w:val="on"/>
          <w:sz w:val="24"/>
        </w:rPr>
        <w:t xml:space="preserve">Vue</w:t>
      </w:r>
      <w:r>
        <w:rPr>
          <w:sz w:val="24"/>
        </w:rPr>
        <w:t xml:space="preserve">: Dégagée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110 000 €</w:t>
      </w:r>
      <w:r>
        <w:rPr>
          <w:sz w:val="24"/>
        </w:rPr>
        <w:t xml:space="preserve"> (</w:t>
      </w:r>
      <w:r>
        <w:rPr>
          <w:b w:val="on"/>
          <w:sz w:val="24"/>
        </w:rPr>
        <w:t xml:space="preserve">CENT DIX MILLE EUROS</w:t>
      </w:r>
      <w:r>
        <w:rPr>
          <w:sz w:val="24"/>
        </w:rPr>
        <w:t xml:space="preserve">) et </w:t>
      </w:r>
      <w:r>
        <w:rPr>
          <w:b w:val="on"/>
          <w:sz w:val="24"/>
        </w:rPr>
        <w:t xml:space="preserve">115 000 €</w:t>
      </w:r>
      <w:r>
        <w:rPr>
          <w:sz w:val="24"/>
        </w:rPr>
        <w:t xml:space="preserve"> (</w:t>
      </w:r>
      <w:r>
        <w:rPr>
          <w:b w:val="on"/>
          <w:sz w:val="24"/>
        </w:rPr>
        <w:t xml:space="preserve">CENT QUINZE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6 septembre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