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Emmanuelle Alazard,  de la Sarl Quercy Transactions, 3, place Jean-Jacques Chapou, 46000 CAHORS (Lot), atteste par la présente avoir visité le 20 août 2024, un(e) Appartement sis 114 rue Georges Clémenceau 46000 CAHORS appartenant à Mme MOUGIN Anaïs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jc w:val="both"/>
      </w:pPr>
      <w:r>
        <w:t xml:space="preserve"> Cahors centre-ville: appartement d'environ 83m² au 2ème étage d’une petite copropriété idéalement située à proximité de tout services et tous commerces. Le bien dispose d'un séjour de 32 m², d'une cuisine spacieuse de 22 m², d'une chambre de 12,3 m², d'une salle de bain de 6,4 m² et d'un couloir de 11.2 m². Le bien à besoin d'un rafraîchissement mais le cumulus est neuf ainsi que les radiateurs.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p>
    <w:p>
      <w:pPr>
        <w:pStyle w:val="Détail"/>
        <w:numPr>
          <w:ilvl w:val="0"/>
          <w:numId w:val="4"/>
        </w:numPr>
      </w:pPr>
      <w:r>
        <w:t xml:space="preserve">Centre-Ville</w:t>
      </w:r>
    </w:p>
    <w:p>
      <w:pPr>
        <w:pStyle w:val="Type de détail"/>
        <w:numPr>
          <w:ilvl w:val="0"/>
          <w:numId w:val="3"/>
        </w:numPr>
      </w:pPr>
      <w:r>
        <w:t xml:space="preserve">2ème étage:</w:t>
      </w:r>
    </w:p>
    <w:p>
      <w:pPr>
        <w:pStyle w:val="Détail"/>
        <w:numPr>
          <w:ilvl w:val="0"/>
          <w:numId w:val="4"/>
        </w:numPr>
      </w:pPr>
      <w:r>
        <w:t xml:space="preserve">Chambre 11,30 m²</w:t>
      </w:r>
    </w:p>
    <w:p>
      <w:pPr>
        <w:pStyle w:val="Détail"/>
        <w:numPr>
          <w:ilvl w:val="0"/>
          <w:numId w:val="4"/>
        </w:numPr>
      </w:pPr>
      <w:r>
        <w:t xml:space="preserve">Couloir 11,20 m²</w:t>
      </w:r>
    </w:p>
    <w:p>
      <w:pPr>
        <w:pStyle w:val="Détail"/>
        <w:numPr>
          <w:ilvl w:val="0"/>
          <w:numId w:val="4"/>
        </w:numPr>
      </w:pPr>
      <w:r>
        <w:t xml:space="preserve">Cuisine 22,90 m²</w:t>
      </w:r>
    </w:p>
    <w:p>
      <w:pPr>
        <w:pStyle w:val="Détail"/>
        <w:numPr>
          <w:ilvl w:val="0"/>
          <w:numId w:val="4"/>
        </w:numPr>
      </w:pPr>
      <w:r>
        <w:t xml:space="preserve">Salle de bains WC /6,4 m²</w:t>
      </w:r>
    </w:p>
    <w:p>
      <w:pPr>
        <w:pStyle w:val="Détail"/>
        <w:numPr>
          <w:ilvl w:val="0"/>
          <w:numId w:val="4"/>
        </w:numPr>
      </w:pPr>
      <w:r>
        <w:t xml:space="preserve">Salon 31 m²</w:t>
      </w:r>
    </w:p>
    <w:p>
      <w:pPr>
        <w:pStyle w:val="Type de détail"/>
        <w:numPr>
          <w:ilvl w:val="0"/>
          <w:numId w:val="3"/>
        </w:numPr>
      </w:pPr>
      <w:r>
        <w:t xml:space="preserve">Dépendances:</w:t>
      </w:r>
    </w:p>
    <w:p>
      <w:pPr>
        <w:pStyle w:val="Détail"/>
        <w:numPr>
          <w:ilvl w:val="0"/>
          <w:numId w:val="4"/>
        </w:numPr>
      </w:pPr>
      <w:r>
        <w:t xml:space="preserve">Local chaudière 0,3 m²</w:t>
      </w:r>
    </w:p>
    <w:p>
      <w:pPr>
        <w:pStyle w:val="Type de détail"/>
        <w:numPr>
          <w:ilvl w:val="0"/>
          <w:numId w:val="3"/>
        </w:numPr>
      </w:pPr>
      <w:r>
        <w:t xml:space="preserve">DPE:</w:t>
      </w:r>
    </w:p>
    <w:p>
      <w:pPr>
        <w:pStyle w:val="Détail"/>
        <w:numPr>
          <w:ilvl w:val="0"/>
          <w:numId w:val="4"/>
        </w:numPr>
      </w:pPr>
      <w:r>
        <w:t xml:space="preserve">Consommation énergétique en énergie primaire 182,00 KWHep/m²an D</w:t>
      </w:r>
    </w:p>
    <w:p>
      <w:pPr>
        <w:pStyle w:val="Détail"/>
        <w:numPr>
          <w:ilvl w:val="0"/>
          <w:numId w:val="4"/>
        </w:numPr>
      </w:pPr>
      <w:r>
        <w:t xml:space="preserve">Emission de gaz à effet de serre 32,00 Kgco2/m²an D</w:t>
      </w:r>
    </w:p>
    <w:p>
      <w:pPr>
        <w:pStyle w:val="Détail"/>
        <w:numPr>
          <w:ilvl w:val="0"/>
          <w:numId w:val="4"/>
        </w:numPr>
      </w:pPr>
      <w:r>
        <w:t xml:space="preserve">Date de réalisation DPE 07/05/82024</w:t>
      </w:r>
    </w:p>
    <w:p>
      <w:pPr>
        <w:pStyle w:val="Détail"/>
        <w:numPr>
          <w:ilvl w:val="0"/>
          <w:numId w:val="4"/>
        </w:numPr>
      </w:pPr>
      <w:r>
        <w:t xml:space="preserve">Montant bas supposé et théorique des dépenses énergétiques 1 160,00 €</w:t>
      </w:r>
    </w:p>
    <w:p>
      <w:pPr>
        <w:pStyle w:val="Détail"/>
        <w:numPr>
          <w:ilvl w:val="0"/>
          <w:numId w:val="4"/>
        </w:numPr>
      </w:pPr>
      <w:r>
        <w:t xml:space="preserve">Montant haut supposé et théorique des dépenses énergétiques 1 570,00 €</w:t>
      </w:r>
    </w:p>
    <w:p>
      <w:pPr>
        <w:pStyle w:val="Type de détail"/>
        <w:numPr>
          <w:ilvl w:val="0"/>
          <w:numId w:val="3"/>
        </w:numPr>
      </w:pPr>
      <w:r>
        <w:t xml:space="preserve">Chauffage:</w:t>
      </w:r>
    </w:p>
    <w:p>
      <w:pPr>
        <w:pStyle w:val="Détail"/>
        <w:numPr>
          <w:ilvl w:val="0"/>
          <w:numId w:val="4"/>
        </w:numPr>
      </w:pPr>
      <w:r>
        <w:t xml:space="preserve">CC Gaz chaudière qui à 15 ans et un cumulus pour l'eau qui date de juin 2024 - Les radiateurs datent de Octobre 2023</w:t>
      </w:r>
    </w:p>
    <w:p>
      <w:pPr>
        <w:pStyle w:val="Type de détail"/>
        <w:numPr>
          <w:ilvl w:val="0"/>
          <w:numId w:val="3"/>
        </w:numPr>
      </w:pPr>
      <w:r>
        <w:t xml:space="preserve">Equipements divers:</w:t>
      </w:r>
    </w:p>
    <w:p>
      <w:pPr>
        <w:pStyle w:val="Détail"/>
        <w:numPr>
          <w:ilvl w:val="0"/>
          <w:numId w:val="4"/>
        </w:numPr>
      </w:pPr>
      <w:r>
        <w:t xml:space="preserve">Double vitrage</w:t>
      </w:r>
    </w:p>
    <w:p>
      <w:pPr>
        <w:pStyle w:val="Détail"/>
        <w:numPr>
          <w:ilvl w:val="0"/>
          <w:numId w:val="4"/>
        </w:numPr>
      </w:pPr>
    </w:p>
    <w:p>
      <w:pPr>
        <w:pStyle w:val="Type de détail"/>
        <w:numPr>
          <w:ilvl w:val="0"/>
          <w:numId w:val="3"/>
        </w:numPr>
      </w:pPr>
      <w:r>
        <w:t xml:space="preserve">Fenêtres:</w:t>
      </w:r>
    </w:p>
    <w:p>
      <w:pPr>
        <w:pStyle w:val="Détail"/>
        <w:numPr>
          <w:ilvl w:val="0"/>
          <w:numId w:val="4"/>
        </w:numPr>
      </w:pPr>
      <w:r>
        <w:t xml:space="preserve">Bois double vitrage avec volets en bois battant</w:t>
      </w:r>
    </w:p>
    <w:p>
      <w:pPr>
        <w:pStyle w:val="Type de détail"/>
        <w:numPr>
          <w:ilvl w:val="0"/>
          <w:numId w:val="3"/>
        </w:numPr>
      </w:pPr>
      <w:r>
        <w:t xml:space="preserve">Loi ALUR:</w:t>
      </w:r>
    </w:p>
    <w:p>
      <w:pPr>
        <w:pStyle w:val="Détail"/>
        <w:numPr>
          <w:ilvl w:val="0"/>
          <w:numId w:val="4"/>
        </w:numPr>
      </w:pPr>
      <w:r>
        <w:t xml:space="preserve">Bien soumis au régime de copropriété syndic de copropriété Foncia</w:t>
      </w:r>
    </w:p>
    <w:p>
      <w:pPr>
        <w:pStyle w:val="Détail"/>
        <w:numPr>
          <w:ilvl w:val="0"/>
          <w:numId w:val="4"/>
        </w:numPr>
      </w:pPr>
      <w:r>
        <w:t xml:space="preserve">Nbre de lots 16,00 -</w:t>
      </w:r>
    </w:p>
    <w:p>
      <w:pPr>
        <w:pStyle w:val="Détail"/>
        <w:numPr>
          <w:ilvl w:val="0"/>
          <w:numId w:val="4"/>
        </w:numPr>
      </w:pPr>
      <w:r>
        <w:t xml:space="preserve">Charges annuelles moyennes de copro. 960,00 €</w:t>
      </w:r>
    </w:p>
    <w:p>
      <w:pPr>
        <w:pStyle w:val="Type de détail"/>
        <w:numPr>
          <w:ilvl w:val="0"/>
          <w:numId w:val="3"/>
        </w:numPr>
      </w:pPr>
      <w:r>
        <w:t xml:space="preserve">Services:</w:t>
      </w:r>
    </w:p>
    <w:p>
      <w:pPr>
        <w:pStyle w:val="Détail"/>
        <w:numPr>
          <w:ilvl w:val="0"/>
          <w:numId w:val="4"/>
        </w:numPr>
      </w:pPr>
      <w:r>
        <w:t xml:space="preserve">Aéroport 1 h 30 Toulouse</w:t>
      </w:r>
    </w:p>
    <w:p>
      <w:pPr>
        <w:pStyle w:val="Détail"/>
        <w:numPr>
          <w:ilvl w:val="0"/>
          <w:numId w:val="4"/>
        </w:numPr>
      </w:pPr>
      <w:r>
        <w:t xml:space="preserve">Autoroute 15 km</w:t>
      </w:r>
    </w:p>
    <w:p>
      <w:pPr>
        <w:pStyle w:val="Détail"/>
        <w:numPr>
          <w:ilvl w:val="0"/>
          <w:numId w:val="4"/>
        </w:numPr>
      </w:pPr>
      <w:r>
        <w:t xml:space="preserve">Commerces</w:t>
      </w:r>
    </w:p>
    <w:p>
      <w:pPr>
        <w:pStyle w:val="Détail"/>
        <w:numPr>
          <w:ilvl w:val="0"/>
          <w:numId w:val="4"/>
        </w:numPr>
      </w:pPr>
      <w:r>
        <w:t xml:space="preserve">Ecole</w:t>
      </w:r>
    </w:p>
    <w:p>
      <w:pPr>
        <w:pStyle w:val="Détail"/>
        <w:numPr>
          <w:ilvl w:val="0"/>
          <w:numId w:val="4"/>
        </w:numPr>
      </w:pPr>
      <w:r>
        <w:t xml:space="preserve">Gare</w:t>
      </w:r>
    </w:p>
    <w:p>
      <w:pPr>
        <w:pStyle w:val="Détail"/>
        <w:numPr>
          <w:ilvl w:val="0"/>
          <w:numId w:val="4"/>
        </w:numPr>
      </w:pPr>
      <w:r>
        <w:t xml:space="preserve">Hôpital</w:t>
      </w:r>
    </w:p>
    <w:p>
      <w:pPr>
        <w:pStyle w:val="Détail"/>
        <w:numPr>
          <w:ilvl w:val="0"/>
          <w:numId w:val="4"/>
        </w:numPr>
      </w:pPr>
      <w:r>
        <w:t xml:space="preserve">Internet / ADSL</w:t>
      </w:r>
    </w:p>
    <w:p>
      <w:pPr>
        <w:pStyle w:val="Détail"/>
        <w:numPr>
          <w:ilvl w:val="0"/>
          <w:numId w:val="4"/>
        </w:numPr>
      </w:pPr>
      <w:r>
        <w:t xml:space="preserve">Secteur Sauvegardé</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70 000 €</w:t>
      </w:r>
      <w:r>
        <w:rPr>
          <w:sz w:val="24"/>
        </w:rPr>
        <w:t xml:space="preserve"> (</w:t>
      </w:r>
      <w:r>
        <w:rPr>
          <w:b w:val="on"/>
          <w:sz w:val="24"/>
        </w:rPr>
        <w:t xml:space="preserve">SOIXANTE-DIX MILLE EUROS</w:t>
      </w:r>
      <w:r>
        <w:rPr>
          <w:sz w:val="24"/>
        </w:rPr>
        <w:t xml:space="preserve">) et </w:t>
      </w:r>
      <w:r>
        <w:rPr>
          <w:b w:val="on"/>
          <w:sz w:val="24"/>
        </w:rPr>
        <w:t xml:space="preserve">70 000 €</w:t>
      </w:r>
      <w:r>
        <w:rPr>
          <w:sz w:val="24"/>
        </w:rPr>
        <w:t xml:space="preserve"> (</w:t>
      </w:r>
      <w:r>
        <w:rPr>
          <w:b w:val="on"/>
          <w:sz w:val="24"/>
        </w:rPr>
        <w:t xml:space="preserve">SOIXANTE-DIX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20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Alazard Emmanuelle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