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Sud Cahors, 15mn en voiture, maison contemporaine de plain-pied d'environ 160 m² de surface habitable sur un terrain de 2431 m² avec piscine. La maison est composée d'une entrée avec placard, d'un séjour avec cuisine ouverte aménagée et équipée, donnant sur la terrasse et la piscine, d'un cellier, de 4 chambres dont une parentale avec salle d'eau et dressing, d'une salle de bains et de 2 wc. Auvent reliant la maison au garage. Chauffage au sol pompe à chaleur. Climatisation dans le séjour. Fenêtres PVC et baies alu. Volets roulants PVC électriques.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11,43 - 11,39 - 10,75 - 13,30m²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2 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 hydraulique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au sel 3 x 7m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