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dans un quartier calme, proche du centre-ville. Maison contemporaine d'environ 160 M² de surface habitable. La toiture et l’isolation refaite en 2023. Dépendance à usage de garage Terrain arboré et clos d'environ 940 m² Rez de chaussée : cuisine équipée, salon, salle manger avec cheminée, salle d’eau, wc, deux chambres avec dressing. A l'étage : trois chambres dont une suite parentale avec salle de bain-wc. Chauffage : Climatisation réversible. Tout à l’égout 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2 402 €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11,12/11,48m²</w:t>
                  </w:r>
                </w:p>
                <w:p>
                  <w:pPr>
                    <w:pStyle w:val="Détail"/>
                  </w:pPr>
                  <w:r>
                    <w:t xml:space="preserve">Couloir 5m²</w:t>
                  </w:r>
                </w:p>
                <w:p>
                  <w:pPr>
                    <w:pStyle w:val="Détail"/>
                  </w:pPr>
                  <w:r>
                    <w:t xml:space="preserve">Cuisine 21m²</w:t>
                  </w:r>
                </w:p>
                <w:p>
                  <w:pPr>
                    <w:pStyle w:val="Détail"/>
                  </w:pPr>
                  <w:r>
                    <w:t xml:space="preserve">Hall d'entrée 9m²</w:t>
                  </w:r>
                </w:p>
                <w:p>
                  <w:pPr>
                    <w:pStyle w:val="Détail"/>
                  </w:pPr>
                  <w:r>
                    <w:t xml:space="preserve">Séjour 30m²</w:t>
                  </w:r>
                </w:p>
                <w:p>
                  <w:pPr>
                    <w:pStyle w:val="Détail"/>
                  </w:pPr>
                  <w:r>
                    <w:t xml:space="preserve">Salle d'eau 4,5m²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12/14/28m²</w:t>
                  </w:r>
                </w:p>
                <w:p>
                  <w:pPr>
                    <w:pStyle w:val="Détail"/>
                  </w:pPr>
                  <w:r>
                    <w:t xml:space="preserve">Palier 4,78m²</w:t>
                  </w:r>
                </w:p>
                <w:p>
                  <w:pPr>
                    <w:pStyle w:val="Détail"/>
                  </w:pPr>
                  <w:r>
                    <w:t xml:space="preserve">Salle de bains complete 10m²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18m²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194,00 KWHep/m²an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B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2021</w:t>
                  </w:r>
                </w:p>
                <w:p>
                  <w:pPr>
                    <w:pStyle w:val="Détail"/>
                  </w:pPr>
                  <w:r>
                    <w:t xml:space="preserve">Date de réalisation DPE 10/07/23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1 642,00 €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2 222,00 €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Chaufferie 18m²</w:t>
                  </w:r>
                </w:p>
                <w:p>
                  <w:pPr>
                    <w:pStyle w:val="Détail"/>
                  </w:pPr>
                  <w:r>
                    <w:t xml:space="preserve">2 Pièces 12/6m²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