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atteste par la présente avoir visité le 13 juin 2024, une Maison Ancienne sise 180 impasse al cloup 46140 CAMBAYRAC appartenant à Mr&amp; Mme Bertrac et Lagane Rodolphe et Lucie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 CAMBAYRAC, Maison Ancienne de 122m² comprenant: 4 chambres, , 1 salles de bains , 1 salles d'eau , grand séjour de 53m² , terrasse sur un terrain de 5.040m²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Une partie déja rénovée , le reste à faire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Double vitrage alu partout , chauffage poele à granulé. garage , joli terrain arboré avec vue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Toiture et zinguerie maison état correct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Les informations sur les risques auxquels ce bien est exposé sont disponibles sur le site Géorisques: 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Parcelles n°   B 104 /911 pour    5 040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 Mesurage et éléments techniques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Situation du bien:</w:t>
      </w:r>
    </w:p>
    <w:p>
      <w:pPr>
        <w:pStyle w:val="Détail"/>
        <w:numPr>
          <w:ilvl w:val="0"/>
          <w:numId w:val="4"/>
        </w:numPr>
        <w:rPr>
          <w:sz w:val="20"/>
        </w:rPr>
      </w:pPr>
      <w:r>
        <w:rPr>
          <w:sz w:val="20"/>
        </w:rPr>
        <w:t xml:space="preserve">Campagne non isolée</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Cave voutée 36m²</w:t>
      </w:r>
    </w:p>
    <w:p>
      <w:pPr>
        <w:pStyle w:val="Détail"/>
        <w:numPr>
          <w:ilvl w:val="0"/>
          <w:numId w:val="4"/>
        </w:numPr>
        <w:rPr>
          <w:sz w:val="20"/>
        </w:rPr>
      </w:pPr>
      <w:r>
        <w:rPr>
          <w:sz w:val="20"/>
        </w:rPr>
        <w:t xml:space="preserve">2 Pièces 8.75/ 30 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2 Chambres 8.42/12.18m²</w:t>
      </w:r>
    </w:p>
    <w:p>
      <w:pPr>
        <w:pStyle w:val="Détail"/>
        <w:numPr>
          <w:ilvl w:val="0"/>
          <w:numId w:val="4"/>
        </w:numPr>
        <w:rPr>
          <w:sz w:val="20"/>
        </w:rPr>
      </w:pPr>
      <w:r>
        <w:rPr>
          <w:sz w:val="20"/>
        </w:rPr>
        <w:t xml:space="preserve">Couloir 7.50m²</w:t>
      </w:r>
    </w:p>
    <w:p>
      <w:pPr>
        <w:pStyle w:val="Détail"/>
        <w:numPr>
          <w:ilvl w:val="0"/>
          <w:numId w:val="4"/>
        </w:numPr>
        <w:rPr>
          <w:sz w:val="20"/>
        </w:rPr>
      </w:pPr>
      <w:r>
        <w:rPr>
          <w:sz w:val="20"/>
        </w:rPr>
        <w:t xml:space="preserve">Séjour avec cuisine ouverte  53m²</w:t>
      </w:r>
    </w:p>
    <w:p>
      <w:pPr>
        <w:pStyle w:val="Détail"/>
        <w:numPr>
          <w:ilvl w:val="0"/>
          <w:numId w:val="4"/>
        </w:numPr>
        <w:rPr>
          <w:sz w:val="20"/>
        </w:rPr>
      </w:pPr>
      <w:r>
        <w:rPr>
          <w:sz w:val="20"/>
        </w:rPr>
        <w:t xml:space="preserve">WC 1.50m² et salle d'eau 4.50m²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2 Chambres 9.94/15.53m²</w:t>
      </w:r>
    </w:p>
    <w:p>
      <w:pPr>
        <w:pStyle w:val="Détail"/>
        <w:numPr>
          <w:ilvl w:val="0"/>
          <w:numId w:val="4"/>
        </w:numPr>
        <w:rPr>
          <w:sz w:val="20"/>
        </w:rPr>
      </w:pPr>
      <w:r>
        <w:rPr>
          <w:sz w:val="20"/>
        </w:rPr>
        <w:t xml:space="preserve">Palier 3.40m²</w:t>
      </w:r>
    </w:p>
    <w:p>
      <w:pPr>
        <w:pStyle w:val="Détail"/>
        <w:numPr>
          <w:ilvl w:val="0"/>
          <w:numId w:val="4"/>
        </w:numPr>
        <w:rPr>
          <w:sz w:val="20"/>
        </w:rPr>
      </w:pPr>
      <w:r>
        <w:rPr>
          <w:sz w:val="20"/>
        </w:rPr>
        <w:t xml:space="preserve">Salle de bains avec wc 6.37m²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Atelier 10m²</w:t>
      </w:r>
    </w:p>
    <w:p>
      <w:pPr>
        <w:pStyle w:val="Détail"/>
        <w:numPr>
          <w:ilvl w:val="0"/>
          <w:numId w:val="4"/>
        </w:numPr>
        <w:rPr>
          <w:sz w:val="20"/>
        </w:rPr>
      </w:pPr>
      <w:r>
        <w:rPr>
          <w:sz w:val="20"/>
        </w:rPr>
        <w:t xml:space="preserve">Garage 28.30m²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 non fourni</w:t>
      </w:r>
    </w:p>
    <w:p>
      <w:pPr>
        <w:pStyle w:val="Détail"/>
        <w:numPr>
          <w:ilvl w:val="0"/>
          <w:numId w:val="4"/>
        </w:numPr>
        <w:rPr>
          <w:sz w:val="20"/>
        </w:rPr>
      </w:pPr>
      <w:r>
        <w:rPr>
          <w:sz w:val="20"/>
        </w:rPr>
        <w:t xml:space="preserve">Emission de gaz à effet de serre: 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Central granulés poêle</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Fosse septique (aucune information sur la conformité)</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w:t>
      </w:r>
    </w:p>
    <w:p>
      <w:pPr>
        <w:pStyle w:val="Détail"/>
        <w:numPr>
          <w:ilvl w:val="0"/>
          <w:numId w:val="4"/>
        </w:numPr>
        <w:rPr>
          <w:sz w:val="20"/>
        </w:rPr>
      </w:pPr>
      <w:r>
        <w:rPr>
          <w:sz w:val="20"/>
        </w:rPr>
        <w:t xml:space="preserve">Double vitrage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Type de détail"/>
        <w:numPr>
          <w:ilvl w:val="0"/>
          <w:numId w:val="3"/>
        </w:numPr>
        <w:rPr>
          <w:sz w:val="20"/>
        </w:rPr>
      </w:pPr>
      <w:r>
        <w:rPr>
          <w:sz w:val="20"/>
        </w:rPr>
        <w:t xml:space="preserve">Toiture:</w:t>
      </w:r>
    </w:p>
    <w:p>
      <w:pPr>
        <w:pStyle w:val="Détail"/>
        <w:numPr>
          <w:ilvl w:val="0"/>
          <w:numId w:val="4"/>
        </w:numPr>
        <w:rPr>
          <w:sz w:val="20"/>
        </w:rPr>
      </w:pPr>
      <w:r>
        <w:rPr>
          <w:sz w:val="20"/>
        </w:rPr>
        <w:t xml:space="preserve">Tuiles</w:t>
      </w:r>
    </w:p>
    <w:p>
      <w:pPr>
        <w:pStyle w:val="Type de détail"/>
        <w:numPr>
          <w:ilvl w:val="0"/>
          <w:numId w:val="3"/>
        </w:numPr>
        <w:rPr>
          <w:sz w:val="20"/>
        </w:rPr>
      </w:pPr>
      <w:r>
        <w:rPr>
          <w:sz w:val="20"/>
        </w:rPr>
        <w:t xml:space="preserve">Vue:</w:t>
      </w:r>
    </w:p>
    <w:p>
      <w:pPr>
        <w:pStyle w:val="Détail"/>
        <w:numPr>
          <w:ilvl w:val="0"/>
          <w:numId w:val="4"/>
        </w:numPr>
      </w:pPr>
      <w:r>
        <w:rPr>
          <w:sz w:val="20"/>
        </w:rPr>
        <w:t xml:space="preserve">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180 000 €</w:t>
      </w:r>
      <w:r>
        <w:rPr>
          <w:sz w:val="24"/>
        </w:rPr>
        <w:t xml:space="preserve"> (</w:t>
      </w:r>
      <w:r>
        <w:rPr>
          <w:b w:val="on"/>
          <w:sz w:val="24"/>
        </w:rPr>
        <w:t xml:space="preserve">CENT QUATRE-VINGT MILLE EUROS</w:t>
      </w:r>
      <w:r>
        <w:rPr>
          <w:sz w:val="24"/>
        </w:rPr>
        <w:t xml:space="preserve">) et </w:t>
      </w:r>
      <w:r>
        <w:rPr>
          <w:b w:val="on"/>
          <w:sz w:val="24"/>
        </w:rPr>
        <w:t xml:space="preserve">185 000 €</w:t>
      </w:r>
      <w:r>
        <w:rPr>
          <w:sz w:val="24"/>
        </w:rPr>
        <w:t xml:space="preserve"> (</w:t>
      </w:r>
      <w:r>
        <w:rPr>
          <w:b w:val="on"/>
          <w:sz w:val="24"/>
        </w:rPr>
        <w:t xml:space="preserve">CENT QUATRE-VINGT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plomb, amiante, électricité, diagnostic de performance énergétique (DPE), assainissement.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