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6 901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:- 284 quai La Grive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maison à 5 Mn du centre-ville avec garage et jardin. Rez de chaussée : garage, chambre, couloir, cuisine d'été (à finir) /chaufferie. Etage : cuisine avec balcon, séjour avec cheminée insert, wc, 2 chambres, salle d'eau. Chauffage, pompe à chaleur (radiateurs). Ballon d’eau chaude thermo dynamique. Fenêtres sur vitrage. Volets Alu. Porte de garage et portail électrique. Sous toiture isolation 2021. Tout à l'égout.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 BM  137/140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CHASSAING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Gérard - 284 quai La Grive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- 0687469069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DESCARGUES Pascal - Quai Lagrive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pascal.descargues@orange.fr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- 0671004836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 </w:t>
      </w:r>
      <w:r>
        <w:rPr>
          <w:b w:val="on"/>
          <w:sz w:val="22"/>
          <w:u w:val="single"/>
        </w:rPr>
        <w:t xml:space="preserve">(voir livret de famille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Ingénieur 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Fourchette basse d'apport personnel 150000 euros , le reste 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 10000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MAXIMUM PREVUE DE L'ACTE</w:t>
      </w:r>
      <w:r>
        <w:rPr>
          <w:sz w:val="22"/>
        </w:rPr>
        <w:t xml:space="preserve"> : 4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2100 euros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                   - Conclusions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cheminée insert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 (facture ramonage), chaudière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entretien), citerne gaz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(copie contrat de location),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200 000 €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12 000 € à la charge de l'acquéreur (dont 2000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SENNAC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11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MARCEL CAR - 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