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Cahors.Propriété de caractère. Ensemble de deux bâtiments, d'environ 451 m² de surface habitable 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-1 ère bâtisse d'environ 205 m² de surface habitable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1-T2 (51 m²) .1-T3 (62 m²). 1 T-4 (92 m²). Avec caves et atelier.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-2éme bâtisse d'environ 246 m² de surface habitable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1T-2 (46.55 m²). 1T-3 (63.72 M²). 1 T3 duplex (58.90 m²). 1 T-4 duplex (77.75 m²).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tout sur un très joli parc clôturé et arboré avec places de parking.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Rapport locatif global annuel d'environ 45.000 €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574 750 €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550 000 €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4 628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45,000 € /an</w:t>
                  </w:r>
                </w:p>
                <w:p>
                  <w:pPr>
                    <w:pStyle w:val="Détail"/>
                  </w:pPr>
                  <w:r>
                    <w:t xml:space="preserve">Type de bail 3-6-9-</w:t>
                  </w:r>
                </w:p>
                <w:p>
                  <w:pPr>
                    <w:pStyle w:val="Détail"/>
                  </w:pPr>
                  <w:r>
                    <w:t xml:space="preserve">Taxe Fonciere 8000 €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