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Je soussigné, Marcel CAR, gérant de la Sarl Quercy Transactions, 3, place Jean-Jacques Chapou, 46000 CAHORS, atteste par la présente avoir visité le 19 mars 2024, unGîte sis 26-81 route de Lalbenque 46000 CAHORS appartenant à l'indivision CURE-Faille 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Normal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0"/>
        <w:rPr>
          <w:sz w:val="24"/>
        </w:rPr>
      </w:pPr>
      <w:r>
        <w:rPr>
          <w:b w:val="on"/>
          <w:sz w:val="24"/>
        </w:rPr>
        <w:t xml:space="preserve">Situation du bien</w:t>
      </w:r>
      <w:r>
        <w:rPr>
          <w:sz w:val="24"/>
        </w:rPr>
        <w:t xml:space="preserve"> : 1ère Périphérie- </w:t>
      </w:r>
      <w:r>
        <w:rPr>
          <w:b w:val="on"/>
          <w:sz w:val="28"/>
        </w:rPr>
        <w:t xml:space="preserve"> </w:t>
      </w:r>
      <w:r>
        <w:rPr>
          <w:b w:val="on"/>
          <w:sz w:val="24"/>
        </w:rPr>
        <w:t xml:space="preserve">gîte:</w:t>
      </w:r>
      <w:r>
        <w:rPr>
          <w:sz w:val="24"/>
        </w:rPr>
        <w:t xml:space="preserve"> d'environ 24 m² : séjour cuisine ouverte, chambre, salle d'eau/wc. </w:t>
      </w:r>
      <w:r>
        <w:rPr>
          <w:b w:val="on"/>
          <w:sz w:val="24"/>
        </w:rPr>
        <w:t xml:space="preserve">Radiateurs</w:t>
      </w:r>
      <w:r>
        <w:rPr>
          <w:sz w:val="24"/>
        </w:rPr>
        <w:t xml:space="preserve"> électriques.</w:t>
      </w:r>
      <w:r>
        <w:rPr>
          <w:b w:val="on"/>
          <w:sz w:val="24"/>
        </w:rPr>
        <w:t xml:space="preserve"> Fenêtres</w:t>
      </w:r>
      <w:r>
        <w:rPr>
          <w:sz w:val="24"/>
        </w:rPr>
        <w:t xml:space="preserve"> pcv doubles. . Piscine. Place de parkings Les informations sur les risques auquel ce bien est exposé sont disponibles sur le site Géorisques </w:t>
      </w:r>
      <w:r>
        <w:rPr>
          <w:color w:val="0000FF"/>
          <w:sz w:val="24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A l'issue de cette visite, j'ai évalué le montant locatif entre </w:t>
      </w:r>
      <w:r>
        <w:rPr>
          <w:b w:val="on"/>
          <w:sz w:val="24"/>
        </w:rPr>
        <w:t xml:space="preserve">500 € (CINQ CENT EUROS) et 600 € (SIX CENT EUROS ) </w:t>
      </w:r>
      <w:r>
        <w:rPr>
          <w:sz w:val="24"/>
        </w:rPr>
        <w:t xml:space="preserve">la semaine</w:t>
      </w:r>
      <w:r>
        <w:rPr>
          <w:b w:val="on"/>
          <w:sz w:val="24"/>
        </w:rPr>
        <w:t xml:space="preserve"> .</w:t>
      </w:r>
      <w:r>
        <w:rPr>
          <w:sz w:val="24"/>
        </w:rPr>
        <w:t xml:space="preserve">Cette évaluation a été donnée sur la base de l'état des prestations du bien, de sa situation, du marché immobilier  locatif sur  ce secteur et sous réserve des diagnostics immobiliers locatifs obligatoires  . Cet avis de valeur a une durée de validité de six mois.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gérant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