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secteur historique,immeuble composé au rez-de-chaussée d'un local commercial de 17 m² loué 310€ HC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cuisine.Taxe foncière en partie récupérable avec local commercial.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2 087 €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Appartement duplex T2 48m²1er chambre, salle d'eau/wc et 2ème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Appartement duplex T2 42m² 3ème étage : chambre avec salle d'eau/wc et 4ème étage : séjour avec coin cuisine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15/11/2018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convecteurs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Dépôt de Garantie RDC 620€</w:t>
                  </w:r>
                </w:p>
                <w:p>
                  <w:pPr>
                    <w:pStyle w:val="Détail"/>
                  </w:pPr>
                  <w:r>
                    <w:t xml:space="preserve">Durée Bail RDC bail commercial 3/6/9 ans du 25,11,2019 au 24,11,2028</w:t>
                  </w:r>
                </w:p>
                <w:p>
                  <w:pPr>
                    <w:pStyle w:val="Détail"/>
                  </w:pPr>
                  <w:r>
                    <w:t xml:space="preserve">Loyer hors taxes RDC 310€ + 30€ charges/mois + quote part Taxe foncière 527€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