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2573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573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01 février 2024, un(e) Maison Ancienne sis 23 rue Bergougnoux  18 rue Bouscarat 46000 CAHORS appartenant à LOT HABITAT en présence de Mme MONCLIN Coralie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Cahors centre-ville immeuble quartier sauvegardé. Immeuble </w:t>
      </w:r>
      <w:r>
        <w:rPr>
          <w:b w:val="on"/>
          <w:sz w:val="22"/>
        </w:rPr>
        <w:t xml:space="preserve">RESIDENCE BERGOUGNOUX: </w:t>
      </w:r>
      <w:r>
        <w:rPr>
          <w:sz w:val="22"/>
        </w:rPr>
        <w:t xml:space="preserve">4 appartements, dont un loué savoir: 1 logement de 84 m²; 1 de 22 m²; 1 de 35 m² et 1 de 57 m² dont un appartement (18 rue bouscarat) en rez de chaussée avec entrée indépendante faisant partie de l'immeuble 23 rue bergougnoux  d'une surface habitable totale d' environ 198 m² Section CH Parcelle n° 85  Les informations sur les risques auquel ce bien est exposé sont disponibles sur le site Géorisques </w:t>
      </w:r>
      <w:r>
        <w:rPr>
          <w:color w:val="0000FF"/>
          <w:sz w:val="22"/>
          <w:u w:val="single"/>
        </w:rPr>
        <w:t xml:space="preserve">www.georisques.gouv.fr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r>
        <w:rPr>
          <w:b w:val="on"/>
          <w:sz w:val="22"/>
        </w:rPr>
        <w:t xml:space="preserve">Situation du bien:</w:t>
      </w:r>
      <w:r>
        <w:rPr>
          <w:sz w:val="22"/>
        </w:rPr>
        <w:t xml:space="preserve"> Centre-Ville </w:t>
      </w:r>
      <w:r>
        <w:rPr>
          <w:b w:val="on"/>
          <w:sz w:val="22"/>
        </w:rPr>
        <w:t xml:space="preserve">Rez de chaussée:</w:t>
      </w:r>
      <w:r>
        <w:rPr>
          <w:sz w:val="22"/>
        </w:rPr>
        <w:t xml:space="preserve"> Appartement 18 rue bouscarat d'environ 47,48 m² </w:t>
      </w:r>
      <w:r>
        <w:rPr>
          <w:b w:val="on"/>
          <w:sz w:val="22"/>
        </w:rPr>
        <w:t xml:space="preserve">23 rue bergougnoux 1er étage</w:t>
      </w:r>
      <w:r>
        <w:rPr>
          <w:sz w:val="22"/>
        </w:rPr>
        <w:t xml:space="preserve">: 2 appartements d'environ 22 m² et 35 m² </w:t>
      </w:r>
      <w:r>
        <w:rPr>
          <w:b w:val="on"/>
          <w:sz w:val="22"/>
        </w:rPr>
        <w:t xml:space="preserve">2ème étage</w:t>
      </w:r>
      <w:r>
        <w:rPr>
          <w:sz w:val="22"/>
        </w:rPr>
        <w:t xml:space="preserve">: Appartement Chambre 15,15 m² Couloir 3,35 m² Cuisine 7,25 m² Hall d'entrée 4,11 m²Lingerie 2,57 m² Palier 1,91 m² Salle à manger 19,35 m² Salle de bains 5,41 m² Salon 19,35 m² WC 0,87 m² </w:t>
      </w:r>
      <w:r>
        <w:rPr>
          <w:b w:val="on"/>
          <w:sz w:val="22"/>
        </w:rPr>
        <w:t xml:space="preserve">3ème étage: </w:t>
      </w:r>
      <w:r>
        <w:rPr>
          <w:sz w:val="22"/>
        </w:rPr>
        <w:t xml:space="preserve">2 Chambres 11,16 - 13,82 Dégagement 3,67 m²3 </w:t>
      </w:r>
      <w:r>
        <w:rPr>
          <w:b w:val="on"/>
          <w:sz w:val="22"/>
        </w:rPr>
        <w:t xml:space="preserve">Greniers </w:t>
      </w:r>
      <w:r>
        <w:rPr>
          <w:sz w:val="22"/>
        </w:rPr>
        <w:t xml:space="preserve">piéces à restaurer 11,98 - 8,11 - 9,36 - m² </w:t>
      </w:r>
      <w:r>
        <w:rPr>
          <w:b w:val="on"/>
          <w:sz w:val="22"/>
        </w:rPr>
        <w:t xml:space="preserve">Toiture:</w:t>
      </w:r>
      <w:r>
        <w:rPr>
          <w:sz w:val="22"/>
        </w:rPr>
        <w:t xml:space="preserve"> Tuiles </w:t>
      </w:r>
      <w:r>
        <w:rPr>
          <w:b w:val="on"/>
          <w:sz w:val="22"/>
        </w:rPr>
        <w:t xml:space="preserve">Chauffage</w:t>
      </w:r>
      <w:r>
        <w:rPr>
          <w:sz w:val="22"/>
        </w:rPr>
        <w:t xml:space="preserve">:CC Gaz </w:t>
      </w:r>
      <w:r>
        <w:rPr>
          <w:b w:val="on"/>
          <w:sz w:val="22"/>
        </w:rPr>
        <w:t xml:space="preserve">Equipements divers</w:t>
      </w:r>
      <w:r>
        <w:rPr>
          <w:sz w:val="22"/>
        </w:rPr>
        <w:t xml:space="preserve">:Gaz de ville </w:t>
      </w:r>
      <w:r>
        <w:rPr>
          <w:b w:val="on"/>
          <w:sz w:val="22"/>
        </w:rPr>
        <w:t xml:space="preserve">Fenêtres:</w:t>
      </w:r>
      <w:r>
        <w:rPr>
          <w:sz w:val="22"/>
        </w:rPr>
        <w:t xml:space="preserve">Bois simple vitrage </w:t>
      </w:r>
      <w:r>
        <w:rPr>
          <w:b w:val="on"/>
          <w:sz w:val="22"/>
        </w:rPr>
        <w:t xml:space="preserve">Services:</w:t>
      </w:r>
      <w:r>
        <w:rPr>
          <w:sz w:val="22"/>
        </w:rPr>
        <w:t xml:space="preserve">Calme école Hôpital Internet / ADSL</w:t>
      </w:r>
      <w:r>
        <w:rPr>
          <w:b w:val="on"/>
          <w:sz w:val="22"/>
        </w:rPr>
        <w:t xml:space="preserve">Secteur</w:t>
      </w:r>
      <w:r>
        <w:rPr>
          <w:sz w:val="22"/>
        </w:rPr>
        <w:t xml:space="preserve"> Sauvegardé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120 000 €</w:t>
      </w:r>
      <w:r>
        <w:rPr>
          <w:sz w:val="22"/>
        </w:rPr>
        <w:t xml:space="preserve"> (</w:t>
      </w:r>
      <w:r>
        <w:rPr>
          <w:b w:val="on"/>
          <w:sz w:val="22"/>
        </w:rPr>
        <w:t xml:space="preserve">CENT VINGT MILLE EUROS</w:t>
      </w:r>
      <w:r>
        <w:rPr>
          <w:sz w:val="22"/>
        </w:rPr>
        <w:t xml:space="preserve">) et </w:t>
      </w:r>
      <w:r>
        <w:rPr>
          <w:b w:val="on"/>
          <w:sz w:val="22"/>
        </w:rPr>
        <w:t xml:space="preserve">125 000 €</w:t>
      </w:r>
      <w:r>
        <w:rPr>
          <w:sz w:val="22"/>
        </w:rPr>
        <w:t xml:space="preserve"> (</w:t>
      </w:r>
      <w:r>
        <w:rPr>
          <w:b w:val="on"/>
          <w:sz w:val="22"/>
        </w:rPr>
        <w:t xml:space="preserve">CENT VING CINQT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19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gérant</w:t>
      </w:r>
    </w:p>
    <w:p>
      <w:pPr>
        <w:pStyle w:val="Titre1"/>
        <w:rPr>
          <w:b w:val="off"/>
          <w:sz w:val="20"/>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