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457325" cy="15049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57325" cy="1504950"/>
                    </a:xfrm>
                    <a:prstGeom prst="rect">
                      <a:avLst/>
                    </a:prstGeom>
                  </pic:spPr>
                </pic:pic>
              </a:graphicData>
            </a:graphic>
          </wp:inline>
        </w:drawing>
      </w:r>
      <w:r>
        <w:rPr>
          <w:sz w:val="24"/>
        </w:rPr>
        <w:t xml:space="preserve"> </w:t>
      </w:r>
      <w:r>
        <w:drawing>
          <wp:inline distT="0" distB="0" distL="0" distR="0">
            <wp:extent cx="1714500" cy="14712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471295"/>
                    </a:xfrm>
                    <a:prstGeom prst="rect">
                      <a:avLst/>
                    </a:prstGeom>
                  </pic:spPr>
                </pic:pic>
              </a:graphicData>
            </a:graphic>
          </wp:inline>
        </w:drawing>
      </w:r>
      <w:r>
        <w:rPr>
          <w:sz w:val="24"/>
        </w:rPr>
        <w:t xml:space="preserve"> </w:t>
      </w:r>
      <w:r>
        <w:drawing>
          <wp:inline distT="0" distB="0" distL="0" distR="0">
            <wp:extent cx="1771650" cy="14712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71650" cy="147129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19 février 2024, un(e) Maison Ancienne sis 100 rue Lastie 46000 CAHORS appartenant à  LOT HABITAT en présence de Mme MONCLIN Coralie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Résidence Lastié (deux appartements) 1 ancien commerce d’environ 28 m² ; 1 logement T5 d'environ 109 m² de surface habitable.Les informations sur les risques auquel ce bien est exposé sont disponibles sur le site Géorisques </w:t>
      </w:r>
      <w:r>
        <w:rPr>
          <w:color w:val="0000FF"/>
          <w:u w:val="single"/>
        </w:rPr>
        <w:t xml:space="preserve">www.georisques.gouv.fr </w:t>
      </w:r>
      <w:r>
        <w:t xml:space="preserve">Surface habitable environ : 137 m² Section CH Parcelle n° 85</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 </w:t>
      </w:r>
      <w:r>
        <w:rPr>
          <w:sz w:val="24"/>
        </w:rPr>
        <w:t xml:space="preserve">Centre-Ville </w:t>
      </w:r>
      <w:r>
        <w:rPr>
          <w:b w:val="on"/>
          <w:sz w:val="24"/>
        </w:rPr>
        <w:t xml:space="preserve">Rez de chaussée:</w:t>
      </w:r>
      <w:r>
        <w:rPr>
          <w:sz w:val="24"/>
        </w:rPr>
        <w:t xml:space="preserve"> Chambre 12,99 m² Couloir 3,92 m² Cuisine 9,24 m² Salle d'eau 2,56 m² wc 1,11 m²  </w:t>
      </w:r>
      <w:r>
        <w:rPr>
          <w:b w:val="on"/>
          <w:sz w:val="24"/>
        </w:rPr>
        <w:t xml:space="preserve">1er étage:</w:t>
      </w:r>
      <w:r>
        <w:rPr>
          <w:sz w:val="24"/>
        </w:rPr>
        <w:t xml:space="preserve"> Couloir 0,95 m² Cuisine 10,8/2 m² Séjour cheminée 31,60 m² wc2,48 m² </w:t>
      </w:r>
      <w:r>
        <w:rPr>
          <w:b w:val="on"/>
          <w:sz w:val="24"/>
        </w:rPr>
        <w:t xml:space="preserve">2ème étage: </w:t>
      </w:r>
      <w:r>
        <w:rPr>
          <w:sz w:val="24"/>
        </w:rPr>
        <w:t xml:space="preserve">3 Chambres 11,62 - 10,39 - 10,64 - m² Palier 2,59 m² Salle de bains 3,53 m² WC 1,61 m² </w:t>
      </w:r>
      <w:r>
        <w:rPr>
          <w:b w:val="on"/>
          <w:sz w:val="24"/>
        </w:rPr>
        <w:t xml:space="preserve">3ème étage: </w:t>
      </w:r>
      <w:r>
        <w:rPr>
          <w:sz w:val="24"/>
        </w:rPr>
        <w:t xml:space="preserve">chambre 16,77 m² Grenier Palier 1,72 m² </w:t>
      </w:r>
      <w:r>
        <w:rPr>
          <w:b w:val="on"/>
          <w:sz w:val="24"/>
        </w:rPr>
        <w:t xml:space="preserve">Sous Sol:</w:t>
      </w:r>
      <w:r>
        <w:rPr>
          <w:sz w:val="24"/>
        </w:rPr>
        <w:t xml:space="preserve"> Cave </w:t>
      </w:r>
      <w:r>
        <w:rPr>
          <w:b w:val="on"/>
          <w:sz w:val="24"/>
        </w:rPr>
        <w:t xml:space="preserve">Toiture:</w:t>
      </w:r>
      <w:r>
        <w:rPr>
          <w:sz w:val="24"/>
        </w:rPr>
        <w:t xml:space="preserve"> Tuiles </w:t>
      </w:r>
      <w:r>
        <w:rPr>
          <w:b w:val="on"/>
          <w:sz w:val="24"/>
        </w:rPr>
        <w:t xml:space="preserve">Chauffage:</w:t>
      </w:r>
      <w:r>
        <w:rPr>
          <w:sz w:val="24"/>
        </w:rPr>
        <w:t xml:space="preserve"> CC Gaz </w:t>
      </w:r>
      <w:r>
        <w:rPr>
          <w:b w:val="on"/>
          <w:sz w:val="24"/>
        </w:rPr>
        <w:t xml:space="preserve">Equipements divers:</w:t>
      </w:r>
      <w:r>
        <w:rPr>
          <w:sz w:val="24"/>
        </w:rPr>
        <w:t xml:space="preserve"> Tout à l'égout Gaz de ville </w:t>
      </w:r>
      <w:r>
        <w:rPr>
          <w:b w:val="on"/>
          <w:sz w:val="24"/>
        </w:rPr>
        <w:t xml:space="preserve">Fenêtres:</w:t>
      </w:r>
      <w:r>
        <w:rPr>
          <w:sz w:val="24"/>
        </w:rPr>
        <w:t xml:space="preserve"> Bois Double vitrage 1980 </w:t>
      </w:r>
      <w:r>
        <w:rPr>
          <w:b w:val="on"/>
          <w:sz w:val="24"/>
        </w:rPr>
        <w:t xml:space="preserve">Services: </w:t>
      </w:r>
      <w:r>
        <w:rPr>
          <w:sz w:val="24"/>
        </w:rPr>
        <w:t xml:space="preserve">Calme Commerces Ecole Gare Hôpital Internet / ADSL </w:t>
      </w:r>
      <w:r>
        <w:rPr>
          <w:b w:val="on"/>
          <w:sz w:val="24"/>
        </w:rPr>
        <w:t xml:space="preserve">Secteur</w:t>
      </w:r>
      <w:r>
        <w:rPr>
          <w:sz w:val="24"/>
        </w:rPr>
        <w:t xml:space="preserve"> Sauvegardé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90 000 €</w:t>
      </w:r>
      <w:r>
        <w:rPr>
          <w:sz w:val="24"/>
        </w:rPr>
        <w:t xml:space="preserve"> (</w:t>
      </w:r>
      <w:r>
        <w:rPr>
          <w:b w:val="on"/>
          <w:sz w:val="24"/>
        </w:rPr>
        <w:t xml:space="preserve">QUATRE-VINGT-DIX MILLE EUROS</w:t>
      </w:r>
      <w:r>
        <w:rPr>
          <w:sz w:val="24"/>
        </w:rPr>
        <w:t xml:space="preserve">) et </w:t>
      </w:r>
      <w:r>
        <w:rPr>
          <w:b w:val="on"/>
          <w:sz w:val="24"/>
        </w:rPr>
        <w:t xml:space="preserve">95 000 €</w:t>
      </w:r>
      <w:r>
        <w:rPr>
          <w:sz w:val="24"/>
        </w:rPr>
        <w:t xml:space="preserve"> (</w:t>
      </w:r>
      <w:r>
        <w:rPr>
          <w:b w:val="on"/>
          <w:sz w:val="24"/>
        </w:rPr>
        <w:t xml:space="preserve">QUATRE-VINGT-QUINZEMILLE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