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4"/>
        </w:rPr>
      </w:pPr>
      <w:r>
        <w:rPr>
          <w:sz w:val="24"/>
        </w:rPr>
        <w:t xml:space="preserve">Je soussigné(e), Marcel CAR, gérant de la Sarl Quercy Transactions, 3, place Jean-Jacques Chapou, 46000 CAHORS (Lot), atteste par la présente avoir visité le 19 décembre 2023 un Appartement sis 77 cour de la chartreuse 46000 CAHORS appartenant à Mme MILHAU Nathalie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4"/>
              </w:rPr>
            </w:pPr>
            <w:r>
              <w:rPr>
                <w:b w:val="on"/>
                <w:color w:val="FFFFFF"/>
                <w:sz w:val="24"/>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xml:space="preserve"> Cahors centre -ville. Appartement rafraichir, au 2éme étage d'une petite copropriété d'environ 92 m² avec grenier, cave et garage. Entrée, séjour, cuisine donnant sur la terrasse, 2 chambres, salle d'eau/WC. Chauffage central gaz de ville. Fenêtres PVC double vitrage. Tout à l'égout. 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4"/>
              </w:rPr>
            </w:pPr>
            <w:r>
              <w:rPr>
                <w:b w:val="on"/>
                <w:color w:val="FFFFFF"/>
                <w:sz w:val="24"/>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w:t>
      </w:r>
      <w:r>
        <w:rPr>
          <w:sz w:val="24"/>
        </w:rPr>
        <w:t xml:space="preserve"> Centre-Ville </w:t>
      </w:r>
      <w:r>
        <w:rPr>
          <w:b w:val="on"/>
          <w:sz w:val="24"/>
        </w:rPr>
        <w:t xml:space="preserve">2ème étage:</w:t>
      </w:r>
      <w:r>
        <w:rPr>
          <w:sz w:val="24"/>
        </w:rPr>
        <w:t xml:space="preserve"> 2 Chambres 22,04 - 16,15 - m² Couloir 3,30 m² Cuisine 13,76 m² Hall d'entrée 2,47 m² Salle à manger 27,27 m² Salle d'eau wc 7,14 m² Terrasse 25 m² </w:t>
      </w:r>
      <w:r>
        <w:rPr>
          <w:b w:val="on"/>
          <w:sz w:val="24"/>
        </w:rPr>
        <w:t xml:space="preserve">Grenier </w:t>
      </w:r>
      <w:r>
        <w:rPr>
          <w:sz w:val="24"/>
        </w:rPr>
        <w:t xml:space="preserve"> 26,50 m² (1,80) </w:t>
      </w:r>
      <w:r>
        <w:rPr>
          <w:b w:val="on"/>
          <w:sz w:val="24"/>
        </w:rPr>
        <w:t xml:space="preserve">Chauffage:</w:t>
      </w:r>
      <w:r>
        <w:rPr>
          <w:sz w:val="24"/>
        </w:rPr>
        <w:t xml:space="preserve"> CC Gaz </w:t>
      </w:r>
      <w:r>
        <w:rPr>
          <w:b w:val="on"/>
          <w:sz w:val="24"/>
        </w:rPr>
        <w:t xml:space="preserve">Equipements divers</w:t>
      </w:r>
      <w:r>
        <w:rPr>
          <w:sz w:val="24"/>
        </w:rPr>
        <w:t xml:space="preserve">: Double vitrage Tout à l'égout Gaz de ville </w:t>
      </w:r>
      <w:r>
        <w:rPr>
          <w:b w:val="on"/>
          <w:sz w:val="24"/>
        </w:rPr>
        <w:t xml:space="preserve">Equipements Electrique</w:t>
      </w:r>
      <w:r>
        <w:rPr>
          <w:sz w:val="24"/>
        </w:rPr>
        <w:t xml:space="preserve">: Interphone Fenêtres: Double vitrage PVC </w:t>
      </w:r>
      <w:r>
        <w:rPr>
          <w:b w:val="on"/>
          <w:sz w:val="24"/>
        </w:rPr>
        <w:t xml:space="preserve">Sous So</w:t>
      </w:r>
      <w:r>
        <w:rPr>
          <w:sz w:val="24"/>
        </w:rPr>
        <w:t xml:space="preserve">l:Cave</w:t>
      </w:r>
      <w:r>
        <w:rPr>
          <w:b w:val="on"/>
          <w:sz w:val="24"/>
        </w:rPr>
        <w:t xml:space="preserve">Toiture</w:t>
      </w:r>
      <w:r>
        <w:rPr>
          <w:sz w:val="24"/>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150 000 €</w:t>
      </w:r>
      <w:r>
        <w:rPr>
          <w:sz w:val="24"/>
        </w:rPr>
        <w:t xml:space="preserve"> (</w:t>
      </w:r>
      <w:r>
        <w:rPr>
          <w:b w:val="on"/>
          <w:sz w:val="24"/>
        </w:rPr>
        <w:t xml:space="preserve">CENT CINQUANTE MILLE EUROS</w:t>
      </w:r>
      <w:r>
        <w:rPr>
          <w:sz w:val="24"/>
        </w:rPr>
        <w:t xml:space="preserve">) et </w:t>
      </w:r>
      <w:r>
        <w:rPr>
          <w:b w:val="on"/>
          <w:sz w:val="24"/>
        </w:rPr>
        <w:t xml:space="preserve">160.000 €</w:t>
      </w:r>
      <w:r>
        <w:rPr>
          <w:sz w:val="24"/>
        </w:rPr>
        <w:t xml:space="preserve"> (</w:t>
      </w:r>
      <w:r>
        <w:rPr>
          <w:b w:val="on"/>
          <w:sz w:val="24"/>
        </w:rPr>
        <w:t xml:space="preserve">CENT SOIXANTE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15 janvier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