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et Madame CALLES Aurélien et Nathalie  - 46150 CALAMANE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Reconnaissent avoir, grâce à l'intervention de l'Agence Immobilière Quercy transactions, visité le bien désigné ci-après le 21/12/2023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CA6858 - 4 rue des Soubirous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color w:val="000000"/>
        </w:rPr>
        <w:t xml:space="preserve">Cahors, centre ville, proche des commodités à pied (commerces, écoles, bus), maison de ville  comprenant au rez-de-chaussée un salon avec cheminée ouverte, une salle à manger, une cuisine indépendante aménagée et équipée (plaque induction, hotte, four, frigo), un wc avec lave-mains. Au 1er étage : une grande chambre d'environ 24m² et une salle d'eau avec wc refaits. Au 2ème étage : 2 chambres 10m² et 24m² avec placards et lavabo. Au 3ème étage : un bureau et une grande chambre. En sous-sol :  cave  et chaufferie.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                             € (                                                             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ou crédit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2   /12/2023 pour la réponse de Monsieur et Madame                nous déclarons être informés qu'en cas d'accord de Monsieur et Madame               , nous serons tenus de régulariser le compromis de vente au plus tard le 25/01/2023.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    décembre 2023,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