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VENTE A TERME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Région CAHORS </w:t>
                  </w:r>
                </w:p>
                <w:p>
                  <w:pPr>
                    <w:pStyle w:val="[Normal]"/>
                    <w:jc w:val="both"/>
                    <w:rPr>
                      <w:rFonts w:ascii="Century Gothic" w:hAnsi="Century Gothic" w:eastAsia="Century Gothic"/>
                      <w:b w:val="on"/>
                      <w:sz w:val="18"/>
                    </w:rPr>
                  </w:pPr>
                  <w:r>
                    <w:rPr>
                      <w:rFonts w:ascii="Century Gothic" w:hAnsi="Century Gothic" w:eastAsia="Century Gothic"/>
                      <w:sz w:val="16"/>
                    </w:rPr>
                    <w:t xml:space="preserve">VENTE A TERME d'une maison occupée, au sud de Cahors, en pierre d'environ 128m² habitables entièrement restaurée entre 2002 et 2006 composée au rez-de-chaussée d'une entrée, d'une cuisine aménagée et équipée, d'une buanderie/chaufferie, d'un séjour avec cheminée insert avec mezzanine et terrasse, d'une chambre parentale avec sa salle d'eau et son wc et placard. A l'étage : une salle d'eau, un wc, 2 chambres dont une traversante, Dépendance : grange avec entrée ouverte de 42m² + atelier de 12m², abri voiture. Piscine. Terrain clos attenant de 3445m² et terrain non attenant de 5492m² à proximité de la maison. AU COMPTANT A SIGNATURE : 96.250€ honoraires d'agence inclus de 6,5% de la valeur vénale du bien. MENSUALITES LIMITEES A 120 MOIS (10 ans) : 604€/mois indexés annuellement. Maison occupée par un homme de 78 ans avec une occupation maximum sur 12 ans. En cas de libération anticipée du bien vous permettant de prendre possession du bien ou de le louer, la mensualité est majorée de 15%. FRAIS DE NOTAIRE REDUITS : 14.000€ (estimés sur la valeur occupée, soit une économie de 5.600€). VALEUR VENALE : 250.000€. Soit une économie sur la Valeur Vénale nette vendeur du bien d'environ 39% (97.500€). Les informations sur les risques auquel ce bien est exposé sont disponibles sur le site Géorisques www.georisques.gouv.f</w:t>
                  </w:r>
                  <w:r>
                    <w:rPr>
                      <w:rFonts w:ascii="Century Gothic" w:hAnsi="Century Gothic" w:eastAsia="Century Gothic"/>
                      <w:sz w:val="20"/>
                    </w:rPr>
                    <w:t xml:space="preserve">r</w:t>
                  </w: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96 250 €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20,31% TTC</w:t>
                    <w:br w:type="textWrapping"/>
                  </w:r>
                  <w:r>
                    <w:rPr>
                      <w:rFonts w:ascii="Century Gothic" w:hAnsi="Century Gothic" w:eastAsia="Century Gothic"/>
                      <w:sz w:val="20"/>
                    </w:rPr>
                    <w:t xml:space="preserve">Prix honoraires exclu :  80 000 €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CA6852</w:t>
                  </w: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3</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2</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128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8 937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16/11/2023,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2 318,00 €,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3 136,00 €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