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688330" cy="37922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8330" cy="379222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57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5730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57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5730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573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85950" cy="125730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Situé dans un village avec commodités à 15 mn à l'ouest de Cahors, confortable maison contemporaine (2016, garantie décennale) largement ouverte sur son jardin plat de 1400m². Plaisir de vivre de plain-pied : vaste et lumineux séjour incluant entrée et cuisine ouverte aménagée et équipée, cellier, suite parentale (avec son dressing et salle d'eau-w.c.), 3 chambres, une salle de bain avec baignoire et douche, un w.c. indépendant et un garage. Assainissement collectif. Chauffage par pompe à chaleur (aérothermie, plancher chauffant et raffraichissant). Huisseries en aluminium avec double vitrage, volets roulants électriques.Maison bien isolée, aux normes récentes RT2012, DPE en A. Tous les avantages d'une maison récente, près de Cahors, dans un village avec toutes les commodités. </w:t>
                  </w: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Les informations sur les risques auxquels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266 250 €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6,50% TTC</w:t>
                    <w:br w:type="textWrapping"/>
                  </w:r>
                  <w:r>
                    <w:rPr>
                      <w:rFonts w:ascii="Century Gothic" w:hAnsi="Century Gothic" w:eastAsia="Century Gothic"/>
                      <w:sz w:val="20"/>
                    </w:rPr>
                    <w:t xml:space="preserve">Prix honoraires exclu :  250 000 €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CA6848</w:t>
                  </w: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130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1 400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5349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5349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5984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5984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13/06/2018,</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