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ATTESTATION DE VENTE 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rPr>
          <w:sz w:val="24"/>
        </w:rPr>
        <w:t xml:space="preserve">Je soussigné, Rémi RAZES,  de la Sarl Quercy Transactions, 3, place Jean-Jacques Chapou, 46000 CAHORS , atteste par la présente avoir à la vente la maison  sise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rPr>
          <w:b w:val="on"/>
          <w:sz w:val="24"/>
        </w:rPr>
        <w:t xml:space="preserve">95 rue rimbaud 46000 CAHORS</w:t>
      </w:r>
      <w:r>
        <w:rPr>
          <w:sz w:val="24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rPr>
          <w:sz w:val="24"/>
        </w:rPr>
        <w:t xml:space="preserve">appartenant à I'ndivision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4"/>
        </w:rPr>
      </w:pPr>
      <w:r>
        <w:rPr>
          <w:b w:val="on"/>
          <w:sz w:val="24"/>
        </w:rPr>
        <w:t xml:space="preserve">Bussard  Christine,  Matéo  et Tom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rPr>
          <w:sz w:val="24"/>
        </w:rPr>
        <w:t xml:space="preserve">Ce depuis le 03 novembre 2021.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rPr>
          <w:b w:val="on"/>
          <w:sz w:val="24"/>
        </w:rPr>
        <w:t xml:space="preserve">J'atteste que depuis cette date , la maison est innoccupée 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 A Cahors, proche école et bus à pied, dans un quartier résidentiel et calme, maison 6 pièces d'environ 153 m² habitables avec double garage et jardin. Elevée sur 3 niveaux, elle offre de plain-pied un grand séjour avec cheminée,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 Le plus : grenier et pièces du rez-de-chaussée bas transformables en habitation.Terrain clos de 672m².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Surface habitable environ : 150 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Parcelle n°  BR 215 pour    672 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 Maison Contemporaine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Situation du bien: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1ère Périphérie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Rez de Jardin: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2 Caves 16,13m²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Cellier 9,82m²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Chaufferie 6,88m²</w:t>
      </w:r>
    </w:p>
    <w:p>
      <w:pPr>
        <w:pStyle w:val="Détail"/>
        <w:numPr>
          <w:ilvl w:val="0"/>
          <w:numId w:val="4"/>
        </w:numPr>
      </w:pPr>
      <w:r>
        <w:rPr>
          <w:sz w:val="16"/>
        </w:rPr>
        <w:t xml:space="preserve">Cuisine d été 15,30m²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Garage 48m²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Rez de chaussée: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2 Chambres 12,03/10,79m²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Couloir 8,50m²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Cuisine 12,73m²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Dressing 3,53m² placards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Hall d'entrée 11,48m²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Séjour 36,50m²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Salle de bains 4,60m²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WC 1,20m²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1er étage: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2 Chambres 11,30/13,60m²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Couloir 8,50m²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2 Greniers 13,50/24,00m²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Salle d'eau 3,66m²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WC 1,10m²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DPE: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Consommation énergétique en énergie primaire 206,00 KWHep/m²an =&gt; Classe D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Emission de gaz à effet de serre 48,00 Kgco2/m²an =&gt; Classe 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Date de réalisation DPE (jj/mm/aaaa) 21/12/2018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Chauffage: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CC Gaz chaudiere De Dietrich de 2006 (défectueuse)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Equipements divers: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Tout à l'égout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Fenêtres: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Bois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Services: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Aéroport Toulouse Blagnac 1h15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Autoroute 15mn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Calme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Commerces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Ecole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Gare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Hôpital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Plain-pied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Terrain: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Arboré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Cloturé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Toiture: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Tuiles plates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Vue: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Vue sur forêt/bois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19 octobre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RAZES Rémi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7"/>
      <w:footerReference w:type="default" r:id="rId00008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2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16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6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