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Francis et Florence DELBOS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31000 TOULOUSE</w:t>
              <w:br w:type="textWrapping"/>
            </w:r>
            <w:r>
              <w:rPr>
                <w:sz w:val="22"/>
              </w:rPr>
              <w:t xml:space="preserve">Tél. : 0614484238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florence.delbos@laposte.net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24606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90000 à 200000 - Type de bien : Maison Ancienne, Maison Contemporaine - Secteur ou code postal : Région LABASTIDE MURAT 46240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2,lotissement Pouzal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46240 MONTFAUCON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149 000 €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29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Francis et Florence DELBOS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