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5135" cy="411924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5135" cy="411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 au cœur d'un village typique, maison de caractère d'environ 300 m² de surface habitable avec piscine sur un terrain d’environ 1376 m². Rez de chaussée : entrée, 3 salons, salle de bains, salle d'eau /wc, cuisine, wc, salle à manger. Etage : 4 chambres, rangement. Etage indépendant : 2 chambres, salle d'eau/wc. 2éme étage : 2 chambres, salle d'eau/wc.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Vestiaire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</w:t>
                  </w:r>
                </w:p>
                <w:p>
                  <w:pPr>
                    <w:pStyle w:val="Détail"/>
                  </w:pPr>
                  <w:r>
                    <w:t xml:space="preserve">Salle d'eau wc 2,72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Electrique étage indépendant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