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6 708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07/11/2022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117 rue de la Barre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centre ville, proche toutes commodités, immeuble de rapport comprenant :- Rez-de-chaussée : local commercial actuellement loué 402€ (bail du 05.12.2007)- 1er étage : appartement 2 pièces d'environ 34m² à restaurer entièrement (isolation, électricité, chauffage, cuisine et salle d'eau).- 2ème étage : appartement 2 pièces d'environ 34m² comprenant une entrée, une salle d'eau wc, une cuisine avec balcon, un séjour et une chambre. Actuellement loué 380€ + 35€ de charges (bail non meublé du 29.08.2022)- 3ème étage : T1 bis d'environ 24m² (30m² surface au sol) comprenant une cuisine, un salon avec chambre, une salle d'eau/wc. Etait loué 295€ + 25€ de charges.Cave voutée en sous-sol et cave d'environ 20m² au rez-de-chaussée d'un autre immeuble.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b w:val="on"/>
              </w:rPr>
            </w:pPr>
            <w:r>
              <w:rPr>
                <w:b w:val="on"/>
              </w:rPr>
              <w:t xml:space="preserve">Indivision BOYER</w:t>
            </w:r>
          </w:p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BOYER  Dominique</w:t>
            </w:r>
          </w:p>
          <w:p>
            <w:pPr>
              <w:pStyle w:val="[Normal]"/>
              <w:jc w:val="center"/>
            </w:pPr>
            <w:r>
              <w:t xml:space="preserve">74 rue Anatole France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128 000 € (CENT VINGT-HUIT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10 200 € (DIX MILLE DEUX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23 juin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