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1318p6032585pulo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1318p6032585puloa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MP113723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207 230 € 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 En Périgord Noir, dans un hameau calme à moins de 10 mn de Montignac, maison de caractère avec joli jardin.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Située sur les hauteurs avec une jolie vue, dans un p</w:t>
      </w:r>
      <w:r>
        <w:rPr>
          <w:rFonts w:ascii="Century Gothic" w:hAnsi="Century Gothic" w:eastAsia="Century Gothic"/>
          <w:sz w:val="32"/>
        </w:rPr>
        <w:t xml:space="preserve">etit hameau de quelques maisons, cette maison a été rénovée en grande partie. Elle profite d’une jolie cour pavée au sud, et d’un joli jardin à l’orée de la forêt sur l’arrière. </w:t>
        <w:br/>
        <w:t xml:space="preserve">On trouve un rdc très lumineux avec une grande cuisine et un beau séjour avec</w:t>
      </w:r>
      <w:r>
        <w:rPr>
          <w:rFonts w:ascii="Century Gothic" w:hAnsi="Century Gothic" w:eastAsia="Century Gothic"/>
          <w:sz w:val="32"/>
        </w:rPr>
        <w:t xml:space="preserve"> cheminée. A l’étage deux chambres dont une avec salle d’eau. Un studio sur deux niveaux est maintenant indépendant de la maison. 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1318p6032561jtnc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318p6032561jtncy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1318p6032567zyxl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318p6032567zyxlz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1318p6032563xjin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318p6032563xjinz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1318p6032565urcp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318p6032565urcpp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1318p6032562ekxr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318p6032562ekxrz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1318p6032564avzz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318p6032564avzz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État: 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120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1,446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37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  <w:br/>
              <w:br/>
              <w:t xml:space="preserve">Exposition:  Sud Ouest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8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>
              <w:br/>
              <w:br/>
              <w:t xml:space="preserve">2 parkings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Bois et Fuel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Village à 10 minutes de MONTIGNAC-LASCAUX.</w:t>
              <w:br/>
              <w:t xml:space="preserve"> - Campagne isolée </w:t>
              <w:br/>
              <w:br/>
              <w:t xml:space="preserve">REZ DE JARDIN:</w:t>
              <w:br/>
              <w:t xml:space="preserve"> - Cuisine équipée de 31 m² avec une ancienne cheminée à foyer ouvert.</w:t>
              <w:br/>
              <w:t xml:space="preserve"> - Pièce à vivre de 37 m² avec une che</w:t>
            </w:r>
            <w:r>
              <w:t xml:space="preserve">minée.</w:t>
              <w:br/>
              <w:t xml:space="preserve"> - Terrasse </w:t>
              <w:br/>
              <w:br/>
              <w:t xml:space="preserve">REZ DE CHAUSSÉE:</w:t>
              <w:br/>
              <w:t xml:space="preserve"> - Buanderie de 12 m².</w:t>
              <w:br/>
              <w:t xml:space="preserve"> - Dégagement </w:t>
              <w:br/>
              <w:t xml:space="preserve"> - Garage garage/chaufferie de 10.5 m².</w:t>
              <w:br/>
              <w:t xml:space="preserve"> - WC </w:t>
              <w:br/>
              <w:br/>
              <w:t xml:space="preserve">1ER ÉTAGE:</w:t>
              <w:br/>
              <w:t xml:space="preserve"> - 2 Chambres mansardées avec salle d'eau et WC de 20 m² au sol et mansardée avec dégagement de 20 m² au sol.</w:t>
              <w:br/>
              <w:br/>
              <w:t xml:space="preserve">DÉPENDANCE</w:t>
            </w:r>
            <w:r>
              <w:t xml:space="preserve">S:</w:t>
              <w:br/>
              <w:t xml:space="preserve"> - Gîte : pièce de 17 m², une salle d'eau / WC de 3 m², un coin cuisine et une chambre mansardée de 17 m² au sol.</w:t>
              <w:br/>
              <w:t xml:space="preserve"> - Préau de 16 m².</w:t>
              <w:br/>
              <w:br/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br/>
              <w:t xml:space="preserve">CHAUFFAGE:</w:t>
              <w:br/>
              <w:t xml:space="preserve"> - bois : chem</w:t>
            </w:r>
            <w:r>
              <w:t xml:space="preserve">inée dans la pièce à vivre.</w:t>
              <w:br/>
              <w:t xml:space="preserve"> - CC Fuel chaudière et cuve dans le garage.</w:t>
              <w:br/>
              <w:br/>
              <w:t xml:space="preserve">EQUIPEMENTS DIVERS:</w:t>
              <w:br/>
              <w:t xml:space="preserve"> - Fosse septique non conforme.</w:t>
              <w:br/>
              <w:t xml:space="preserve"> - Insert </w:t>
              <w:br/>
              <w:t xml:space="preserve"> - Production eau chaude 2 chauffe-eau électriques.</w:t>
              <w:br/>
              <w:t xml:space="preserve"> - Cheminée </w:t>
              <w:br/>
              <w:br/>
              <w:t xml:space="preserve">FENÊTRES:</w:t>
              <w:br/>
              <w:t xml:space="preserve"> - Aluminium </w:t>
              <w:br/>
              <w:t xml:space="preserve"> - Double vitrage </w:t>
              <w:br/>
              <w:t xml:space="preserve"> - Vélux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Ville la plus proche : MONTIGNAC-LASCAUX 10 minutes.</w:t>
              <w:br/>
              <w:t xml:space="preserve"> - Aéroport BRIVE 1heure.</w:t>
              <w:br/>
              <w:t xml:space="preserve"> - Autoroute THENON 10 minutes.</w:t>
              <w:br/>
              <w:t xml:space="preserve"> - Calme </w:t>
              <w:br/>
              <w:t xml:space="preserve"> - Ecole LA BACHELLERIE 10 minutes.</w:t>
              <w:br/>
              <w:t xml:space="preserve"> - Gare LE LARDIN/THENON 15 minutes.</w:t>
              <w:br/>
              <w:t xml:space="preserve"> - Gîtes </w:t>
              <w:br/>
              <w:t xml:space="preserve"> - Hôpital BRIVE/PERIGUEUX 40 min</w:t>
            </w:r>
            <w:r>
              <w:t xml:space="preserve">utes.</w:t>
              <w:br/>
              <w:t xml:space="preserve"> - Internet / ADSL </w:t>
              <w:br/>
              <w:t xml:space="preserve"> - Vue </w:t>
              <w:br/>
              <w:br/>
              <w:t xml:space="preserve">TERRAIN:</w:t>
              <w:br/>
              <w:t xml:space="preserve"> - Arboré </w:t>
              <w:br/>
              <w:t xml:space="preserve"> - Boisé </w:t>
              <w:br/>
              <w:t xml:space="preserve"> - Constructible </w:t>
              <w:br/>
              <w:t xml:space="preserve"> - Cloturé </w:t>
              <w:br/>
              <w:t xml:space="preserve"> - Portail </w:t>
              <w:br/>
              <w:t xml:space="preserve"> - Terrasse </w:t>
              <w:br/>
              <w:br/>
              <w:t xml:space="preserve">TOITURE:</w:t>
              <w:br/>
              <w:t xml:space="preserve"> - Tuiles neuve.</w:t>
              <w:br/>
              <w:t xml:space="preserve"> - Zinc </w:t>
              <w:br/>
              <w:t xml:space="preserve"> - Isolation 400 mm sous toiture.</w:t>
              <w:br/>
              <w:br/>
              <w:t xml:space="preserve">VUE:</w:t>
              <w:br/>
              <w:t xml:space="preserve"> - Dégagée </w:t>
              <w:br/>
              <w:t xml:space="preserve"> - Vue sur jardin 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790700"/>
                      <wp:effectExtent l="0" t="0" r="0" b="0"/>
                      <wp:docPr id="9" name="Picture 1" descr="https://files.activimmo.com/storage/etiquettes/photo/dpe/dpe-energie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790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54.5pt;height:141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800225"/>
                      <wp:effectExtent l="0" t="0" r="0" b="0"/>
                      <wp:docPr id="10" name="Picture 1" descr="https://files.activimmo.com/storage/etiquettes/photo/dpe/dpe-ges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800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54.5pt;height:141.8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1 000 €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Alexandre BOISHARDY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48</cp:revision>
  <dcterms:created xsi:type="dcterms:W3CDTF">2023-10-02T06:54:00Z</dcterms:created>
  <dcterms:modified xsi:type="dcterms:W3CDTF">2025-01-21T07:58:37Z</dcterms:modified>
</cp:coreProperties>
</file>