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84916750876337ea7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highlight w:val="none"/>
                          </w:rPr>
                        </w:pPr>
                        <w:r>
                          <w:t xml:space="preserve"> </w:t>
                          <w:br/>
                          <w:t xml:space="preserve">Magnifique corps de ferme à rénover entre Périgueux et Thenon avec un étang !</w:t>
                          <w:br/>
                          <w:t xml:space="preserve">Sur une hauteur, avec un magnifique point de vue, cette ancienne ferme composée d'une maison d'h</w:t>
                        </w:r>
                        <w:r>
                          <w:t xml:space="preserve">abitation de 130 m² habitables et de nombreuses dépendances  sera idéale pour votre projet de résidence principale ou secondaire !</w:t>
                          <w:br/>
                          <w:t xml:space="preserve">Les informations sur les risques auxquels ce bien est exposé sont disponibles sur le site Géorisques: www.georisques.gouv.fr 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highlight w:val="none"/>
                          </w:rPr>
                        </w:r>
                        <w:r>
                          <w:rPr>
                            <w:highlight w:val="none"/>
                          </w:rPr>
                        </w:r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569720" cy="143256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23.6pt;height:112.8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  <w:szCs w:val="22"/>
                      <w:highlight w:val="none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326187" cy="4581525"/>
                            <wp:effectExtent l="0" t="0" r="0" b="0"/>
                            <wp:docPr id="3" name="Picture 1" descr="https://gildc.activimmo.ovh/pic/642x481/06gildc6502963p54670fc31b603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0235745" name="https://gildc.activimmo.ovh/pic/642x481/06gildc6502963p54670fc31b6035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6326187" cy="4581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98.1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</w:r>
                  <w:r/>
                  <w:r>
                    <w:rPr>
                      <w:sz w:val="22"/>
                    </w:rPr>
                    <w:t xml:space="preserve"> </w:t>
                  </w:r>
                  <w:r/>
                  <w:r>
                    <w:rPr>
                      <w:sz w:val="22"/>
                    </w:rPr>
                  </w:r>
                  <w:r/>
                  <w:r>
                    <w:rPr>
                      <w:sz w:val="22"/>
                    </w:rPr>
                  </w:r>
                </w:p>
                <w:p>
                  <w:pPr>
                    <w:pStyle w:val="64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highlight w:val="none"/>
                    </w:rPr>
                  </w:r>
                  <w:r>
                    <w:rPr>
                      <w:sz w:val="22"/>
                      <w:highlight w:val="none"/>
                    </w:rPr>
                  </w:r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674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52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552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2963p59670fc31fe60c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963p59670fc31fe60c4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/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963p267054f0a3e21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61774759" name="https://gildc.activimmo.ovh/pic/215x157/06gildc6502963p267054f0a3e216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4" cy="149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144040" cy="1495425"/>
                                        <wp:effectExtent l="0" t="0" r="0" b="0"/>
                                        <wp:docPr id="6" name="Picture 1" descr="https://gildc.activimmo.ovh/pic/215x157/06gildc6502963p3467054f284695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963p3467054f2846952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 flipH="0" flipV="0">
                                                  <a:off x="0" y="0"/>
                                                  <a:ext cx="2144039" cy="149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8.8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MP113865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174 900 €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9 900 €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165 000 €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2024-12-04T16:48:36Z</dcterms:modified>
</cp:coreProperties>
</file>