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sz w:val="24"/>
          <w:szCs w:val="24"/>
        </w:rPr>
      </w:pPr>
      <w:r>
        <w:rPr>
          <w:b/>
          <w:sz w:val="24"/>
        </w:rPr>
      </w:r>
      <w:r>
        <w:rPr>
          <w:b/>
          <w:sz w:val="24"/>
        </w:rP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sz w:val="24"/>
          <w:szCs w:val="24"/>
        </w:rPr>
      </w:pPr>
      <w:r>
        <w:rPr>
          <w:b/>
          <w:sz w:val="24"/>
        </w:rPr>
        <w:t xml:space="preserve">Madame BIASINO</w:t>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rPr>
        <w:t xml:space="preserve">Demeurant : 1 chemin des Sicardies, 24210 AZERAT.</w:t>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sz w:val="24"/>
          <w:szCs w:val="24"/>
          <w:highlight w:val="none"/>
        </w:rPr>
      </w:r>
      <w:r>
        <w:rPr>
          <w:rFonts w:eastAsia="Century Gothic" w:cs="Arial"/>
          <w:b/>
          <w:sz w:val="24"/>
          <w:szCs w:val="24"/>
          <w:highlight w:val="none"/>
        </w:rP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u w:val="single"/>
        </w:rPr>
      </w:pPr>
      <w:r>
        <w:rPr>
          <w:b/>
          <w:bCs/>
          <w:sz w:val="22"/>
          <w:szCs w:val="22"/>
          <w:u w:val="single"/>
        </w:rPr>
      </w:r>
      <w:r>
        <w:rPr>
          <w:b/>
          <w:bCs/>
          <w:sz w:val="22"/>
          <w:szCs w:val="22"/>
          <w:u w:val="single"/>
        </w:rPr>
      </w:r>
    </w:p>
    <w:p>
      <w:pPr>
        <w:rPr>
          <w:b/>
          <w:bCs/>
          <w:sz w:val="22"/>
          <w:szCs w:val="22"/>
          <w:u w:val="none"/>
        </w:rPr>
      </w:pPr>
      <w:r>
        <w:rPr>
          <w:b/>
          <w:sz w:val="22"/>
          <w:highlight w:val="none"/>
          <w:u w:val="none"/>
        </w:rPr>
        <w:t xml:space="preserve">Maison contemporaine avec terrain attenant et petites dépendances. Ensemble cadastré au numéro 287 section D pour une contenance totale d’environ 1651 m², sis : 1 chemin des Sicardies, 24210 AZERAT.</w:t>
      </w:r>
      <w:r>
        <w:rPr>
          <w:b/>
          <w:sz w:val="22"/>
          <w:highlight w:val="none"/>
          <w:u w:val="non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u w:val="none"/>
        </w:rPr>
      </w:pPr>
      <w:r>
        <w:rPr>
          <w:color w:val="auto"/>
          <w:sz w:val="14"/>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265 000 €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b/>
          <w:bCs/>
          <w:sz w:val="22"/>
          <w:szCs w:val="22"/>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 </w:t>
      </w:r>
      <w:r>
        <w:rPr>
          <w:b/>
          <w:sz w:val="22"/>
        </w:rPr>
      </w:r>
      <w:r>
        <w:rPr>
          <w:rFonts w:ascii="Verdana" w:hAnsi="Verdana"/>
        </w:rPr>
      </w:r>
    </w:p>
    <w:p>
      <w:pPr>
        <w:ind w:right="360"/>
        <w:tabs>
          <w:tab w:val="left" w:pos="284" w:leader="none"/>
        </w:tabs>
        <w:rPr>
          <w:rFonts w:ascii="Verdana" w:hAnsi="Verdana"/>
        </w:rPr>
      </w:pPr>
      <w:r>
        <w:rPr>
          <w:b/>
          <w:sz w:val="22"/>
        </w:rPr>
        <w:t xml:space="preserve">15 900 €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280 900 €</w:t>
      </w:r>
      <w:r>
        <w:rPr>
          <w:b/>
          <w:sz w:val="22"/>
        </w:rPr>
        <w:t xml:space="preserve">.</w:t>
      </w:r>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 </w:t>
      </w:r>
      <w:r/>
      <w:r>
        <w:rPr>
          <w:b w:val="0"/>
          <w:color w:val="auto"/>
          <w:sz w:val="22"/>
        </w:rPr>
        <w:t xml:space="preserve">le cas d'une vente par son intermédiaire, hormis l'audit énergétique.</w:t>
      </w:r>
      <w:r/>
      <w:r>
        <w:rPr>
          <w:b w:val="0"/>
          <w:color w:val="auto"/>
          <w:sz w:val="22"/>
        </w:rP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9928676965efb22ab"/>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1374676965efb22c2"/>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9017676965efb22d4"/>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8377676965efb22e5"/>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5606676965efb22f7"/>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5432676965efb2309"/>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8847676965efb231b"/>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8759676965efb232e"/>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1322676965efb2342"/>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rPr>
          <w:sz w:val="22"/>
        </w:rP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23 décembre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w:t>
      </w:r>
      <w:r>
        <w:rPr>
          <w:color w:val="auto"/>
        </w:rPr>
        <w:t xml:space="preserve"> </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  </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23 0030 2024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  </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15 900 €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23 décembre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2024-12-23T13:34:27Z</dcterms:modified>
</cp:coreProperties>
</file>