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HAUTEFORT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906p6055012xmo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906p6055012xmocm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MP113857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249 000 €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Dans le nord du Périgord Noir, proche de Hautefort, maison avec piscine et jardin dans hameau typique. Parfaite pour les vacances.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Située dans un hameau calme, proche de Hautefort et de ses commerces, servic</w:t>
      </w:r>
      <w:r>
        <w:rPr>
          <w:rFonts w:ascii="Century Gothic" w:hAnsi="Century Gothic" w:eastAsia="Century Gothic"/>
          <w:sz w:val="32"/>
        </w:rPr>
        <w:t xml:space="preserve">es et restaurants, cette maison de vacances développe environ 160 m² habitables, dont au rdc: entrée, cuisine, salle à manger, salon avec cheminée de 45 m², chambre, salle d'eau et à l'étage: 2 grandes chambres et une salle d'eau. La maison est dotée d'un </w:t>
      </w:r>
      <w:r>
        <w:rPr>
          <w:rFonts w:ascii="Century Gothic" w:hAnsi="Century Gothic" w:eastAsia="Century Gothic"/>
          <w:sz w:val="32"/>
        </w:rPr>
        <w:t xml:space="preserve">chauffage central. Côté jardin, on trouve une originale petite piscine ronde. Garage/atelier. L'ensemble est en bon état général. </w:t>
        <w:br/>
        <w:t xml:space="preserve">Les informations sur les risques auxquels ce bien est exposé sont disponibles sur le site Géorisques: www.georisques.gouv.fr 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906p6055006uiop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06p6055006uiop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906p6055008oirc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06p6055008oirc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906p6055016ydna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06p6055016ydna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906p6055029ohtm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06p6055029ohtm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906p6055027kgzy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06p6055027kgzy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906p6055047opqn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906p6055047opqnj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Privée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Très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160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630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6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Fuel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REZ DE CHAUSSÉE:</w:t>
              <w:br/>
              <w:t xml:space="preserve"> - Chambre de 9 m² avec placards.</w:t>
              <w:br/>
              <w:t xml:space="preserve"> - C</w:t>
            </w:r>
            <w:r>
              <w:t xml:space="preserve">uisine de 10 m².</w:t>
              <w:br/>
              <w:t xml:space="preserve"> - Hall d'entrée de 19 m².</w:t>
              <w:br/>
              <w:t xml:space="preserve"> - Séjour de 45 m² avec 2 portes-fenêtres donant sur la terrasse.</w:t>
              <w:br/>
              <w:t xml:space="preserve"> - Salle à manger de 13 m².</w:t>
              <w:br/>
              <w:t xml:space="preserve"> - Salle d'eau /wc.</w:t>
              <w:br/>
              <w:br/>
              <w:t xml:space="preserve">1ER ÉTAGE:</w:t>
              <w:br/>
              <w:t xml:space="preserve"> - 2 Chambres 1 de 23 m² avec dressing et 1 de 18 m² mansardée.</w:t>
              <w:br/>
              <w:br/>
              <w:t xml:space="preserve">DÉPENDANCES:</w:t>
              <w:br/>
              <w:t xml:space="preserve"> - Garag</w:t>
            </w:r>
            <w:r>
              <w:t xml:space="preserve">e de 32 m².</w:t>
              <w:br/>
              <w:br/>
              <w:t xml:space="preserve">DPE:</w:t>
              <w:br/>
              <w:t xml:space="preserve"> - Consommation énergétique (en énergie primaire): 190 KWHep/m²an</w:t>
              <w:br/>
              <w:t xml:space="preserve"> - Emission de gaz à effet de serre: 46 Kgco2/m²an</w:t>
              <w:br/>
              <w:t xml:space="preserve"> - Date de réalisation DPE 28/06/2024</w:t>
              <w:br/>
              <w:br/>
              <w:t xml:space="preserve">CHAUFFAGE:</w:t>
              <w:br/>
              <w:t xml:space="preserve"> - CC Fuel </w:t>
              <w:br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35 mn.</w:t>
              <w:br/>
              <w:t xml:space="preserve"> - Autoroute 10 m</w:t>
            </w:r>
            <w:r>
              <w:t xml:space="preserve">n.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15 mn.</w:t>
              <w:br/>
              <w:t xml:space="preserve"> - Hôpital 25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t xml:space="preserve"> - Internet fibre optique. </w:t>
              <w:br/>
              <w:br/>
              <w:t xml:space="preserve">TERRAIN:</w:t>
              <w:br/>
              <w:t xml:space="preserve"> - Jardin </w:t>
              <w:br/>
              <w:t xml:space="preserve"> - Piscine ronde de 4,5 m de diamètres.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9" name="Picture 1" descr="https://dpe.files.activimmo.com/elan?dpe=190&amp;ges=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90&amp;ges=4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7500" cy="2857500"/>
                      <wp:effectExtent l="0" t="0" r="0" b="0"/>
                      <wp:docPr id="10" name="Picture 1" descr="https://dpe.files.activimmo.com/elan/ges/?ges=0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4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7500" cy="2857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25.0pt;height:22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46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D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48</cp:revision>
  <dcterms:created xsi:type="dcterms:W3CDTF">2023-10-02T06:54:00Z</dcterms:created>
  <dcterms:modified xsi:type="dcterms:W3CDTF">2024-10-29T06:35:21Z</dcterms:modified>
</cp:coreProperties>
</file>