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highlight w:val="none"/>
                          </w:rPr>
                        </w:pPr>
                        <w:r>
                          <w:t xml:space="preserve">A VOIR! En périgord Noir, dans un hameau typique, propriété comprenant une maison principale de 75 m² habitables, tout confort et un gîte d'été d'environ 40 m². Joli jardin. Bon rapport qualité/prix. La maison principale </w:t>
                        </w:r>
                        <w:r>
                          <w:t xml:space="preserve">offre de plain-pied une cuisine, salle-à-manger, salon avec un poêle à bois, une chambre et la salle d'eau. A l'étage, on trouve une deuxième chambre, actuellement à usage d'atelier. Chauffage réversible par pompe à chaleur.</w:t>
                        </w:r>
                        <w:r>
                          <w:t xml:space="preserve"> </w:t>
                          <w:br/>
                          <w:t xml:space="preserve">Les informations sur les risques auxquels ce bien est exposé sont disponibles sur le site Géorisques: </w:t>
                        </w:r>
                        <w:hyperlink r:id="rId10" w:tooltip="http://www.georisques.gouv.fr" w:history="1">
                          <w:r>
                            <w:rPr>
                              <w:rStyle w:val="173"/>
                            </w:rPr>
                            <w:t xml:space="preserve">www.georisques.gouv.fr</w:t>
                          </w:r>
                          <w:r>
                            <w:rPr>
                              <w:rStyle w:val="173"/>
                            </w:rPr>
                          </w:r>
                        </w:hyperlink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highlight w:val="none"/>
                          </w:rPr>
                        </w:r>
                        <w:r>
                          <w:rPr>
                            <w:highlight w:val="none"/>
                          </w:rPr>
                        </w:r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f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1525565p12975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1525565p12975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1525565p129756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5565p1297563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1525565p1297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5565p1297578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1525565p129756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1525565p1297567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MP113076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212 000 €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12 000 €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200 000 €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georisques.gouv.fr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2024-04-18T13:00:59Z</dcterms:modified>
</cp:coreProperties>
</file>