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936"/>
              <w:gridCol w:w="1077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93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  <w:lang w:val="en-US" w:eastAsia="en-US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44909" cy="940438"/>
                            <wp:effectExtent l="19050" t="0" r="7691" b="0"/>
                            <wp:docPr id="1" name="799766e9288a441a9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4909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37.4pt;height:74.1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</w:t>
                        </w:r>
                        <w:r>
                          <w:rPr>
                            <w:sz w:val="22"/>
                          </w:rPr>
                          <w:t xml:space="preserve">rue</w:t>
                        </w:r>
                        <w:r>
                          <w:rPr>
                            <w:sz w:val="22"/>
                          </w:rPr>
                          <w:t xml:space="preserve">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 </w:t>
                          <w:br/>
                          <w:t xml:space="preserve">Au cœur de la campagne, cette jolie périgourdine construite dans les années 1970 comprend une belle pièce à vivre avec cheminée, 3 chambres, un bel atelier de 70m², des combles à aménagés sur tout l'</w:t>
                        </w:r>
                        <w:r>
                          <w:t xml:space="preserve">étage, une cave et une petite dépendance en bois.</w:t>
                          <w:br/>
                          <w:t xml:space="preserve">Sur un terrain arboré de plus de 4000m², possibilité de piscine et de potager.  </w:t>
                          <w:br/>
                          <w:br/>
                          <w:t xml:space="preserve">Les informations sur les risques auxquels ce bien est exposé sont disponibles sur le site Géorisques: www.georisques.gouv.fr</w:t>
                        </w:r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569720" cy="1432560"/>
                                  <wp:effectExtent l="0" t="0" r="0" b="0"/>
                                  <wp:docPr id="2" name="Picture 1" descr="https://files.activimmo.com/storage/etiquettes/photo/dpe/dpe-energi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23.6pt;height:112.8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077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502736p1266c5eb15b073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502736p1266c5eb15b073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502736p1066c5eb073b71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736p1066c5eb073b71e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2736p366c5f9ea5371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736p366c5f9ea5371a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502736p166c5f9d9c738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736p166c5f9d9c7381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MP113837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212 000 €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12 000 €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200 000 €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11</cp:revision>
  <dcterms:created xsi:type="dcterms:W3CDTF">2024-03-08T11:44:00Z</dcterms:created>
  <dcterms:modified xsi:type="dcterms:W3CDTF">2024-09-17T06:58:56Z</dcterms:modified>
</cp:coreProperties>
</file>