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TERRASSON AREA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231p6047553ofzd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231p6047553ofzdr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MP113794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545 900 €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Superb location for this property in Périgord Noir with swimming pool and tennis court set in almost one hectare.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In the Périgord Noir</w:t>
      </w:r>
      <w:r>
        <w:rPr>
          <w:rFonts w:ascii="Century Gothic" w:hAnsi="Century Gothic" w:eastAsia="Century Gothic"/>
          <w:sz w:val="32"/>
        </w:rPr>
        <w:t xml:space="preserve">, on the heights of a town close to the main roads with all shops, schools and services, this property benefits from a superb, peaceful setting, with no close neighbours, protected by pretty oak trees. Once through the wrought iron gate, you drive past the</w:t>
      </w:r>
      <w:r>
        <w:rPr>
          <w:rFonts w:ascii="Century Gothic" w:hAnsi="Century Gothic" w:eastAsia="Century Gothic"/>
          <w:sz w:val="32"/>
        </w:rPr>
        <w:t xml:space="preserve"> garage and tennis court to reach the top of the plot, where the house and swimming pool are located. The house is a very good craftsman's house, bright and comfortable, offering more than 200 m2 of living space, including a very beautiful living room, kit</w:t>
      </w:r>
      <w:r>
        <w:rPr>
          <w:rFonts w:ascii="Century Gothic" w:hAnsi="Century Gothic" w:eastAsia="Century Gothic"/>
          <w:sz w:val="32"/>
        </w:rPr>
        <w:t xml:space="preserve">chen (and utility room), 5 bedrooms, 3 shower/bath rooms, a study, as well as generous storage space, a cellar and a garage on the garden level. The main rooms lead onto covered terraces and a large, heated swimming pool with sliding dome. Most of the grou</w:t>
      </w:r>
      <w:r>
        <w:rPr>
          <w:rFonts w:ascii="Century Gothic" w:hAnsi="Century Gothic" w:eastAsia="Century Gothic"/>
          <w:sz w:val="32"/>
        </w:rPr>
        <w:t xml:space="preserve">nds are wooded, with Causse oak trees providing shade in the summer months. Once again, a beautiful setting, waiting to be discovered.</w:t>
        <w:br/>
        <w:br/>
        <w:t xml:space="preserve">Information on the risks to which this property is exposed is available on the Géorisques website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231p6046613xhzj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6613xhzjp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231p6046630ahxy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6630ahxy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231p6047552fcvo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7552fcvo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231p6046605xvkr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6605xvkr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231p6046602xxjg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6602xxjgy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231p6046599zdqf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6599zdqft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Modern house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Swimming pool Private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Very good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225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9,855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72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Non isolated countryside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5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3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8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bureau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Oil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GARDEN LEVEL:</w:t>
              <w:br/>
              <w:t xml:space="preserve"> - Office </w:t>
              <w:br/>
              <w:t xml:space="preserve"> - Basement / Cellar </w:t>
              <w:br/>
              <w:t xml:space="preserve"> - Bedroom </w:t>
              <w:br/>
              <w:t xml:space="preserve"> - Garage </w:t>
              <w:br/>
              <w:t xml:space="preserve"> - Shower Room </w:t>
              <w:br/>
              <w:br/>
              <w:t xml:space="preserve">GROUND FLOOR:</w:t>
              <w:br/>
              <w:t xml:space="preserve"> - Office </w:t>
              <w:br/>
              <w:t xml:space="preserve"> - 2 Bedrooms </w:t>
              <w:br/>
              <w:t xml:space="preserve"> - Corridor </w:t>
              <w:br/>
              <w:t xml:space="preserve"> - Kitchen </w:t>
              <w:br/>
              <w:t xml:space="preserve"> - Living room </w:t>
              <w:br/>
              <w:t xml:space="preserve"> - Lounge </w:t>
              <w:br/>
              <w:t xml:space="preserve"> - 2 Bathrooms </w:t>
              <w:br/>
              <w:br/>
              <w:t xml:space="preserve">1ST FLOOR:</w:t>
              <w:br/>
              <w:t xml:space="preserve"> - 2 Bedrooms </w:t>
              <w:br/>
              <w:t xml:space="preserve"> - Corridor </w:t>
              <w:br/>
              <w:t xml:space="preserve"> - Landing</w:t>
            </w:r>
            <w:r>
              <w:t xml:space="preserve"> </w:t>
              <w:br/>
              <w:t xml:space="preserve"> - Bathroom </w:t>
              <w:br/>
              <w:br/>
              <w:t xml:space="preserve">OUTBUILDINGS:</w:t>
              <w:br/>
              <w:t xml:space="preserve"> - Garage </w:t>
              <w:br/>
              <w:br/>
              <w:t xml:space="preserve">ENERGY REPORT</w:t>
            </w:r>
            <w:r/>
          </w:p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gy performance: 114 KWHep/m²an</w:t>
              <w:br/>
              <w:t xml:space="preserve"> - Gas emission: 31 Kgco2/m²an</w:t>
              <w:br/>
              <w:br/>
              <w:t xml:space="preserve">HEATING:</w:t>
              <w:br/>
              <w:t xml:space="preserve"> - Wood </w:t>
              <w:br/>
              <w:t xml:space="preserve"> - Oil central heating </w:t>
              <w:br/>
              <w:br/>
              <w:t xml:space="preserve">OTHER EQUIPMENT:</w:t>
              <w:br/>
              <w:t xml:space="preserve"> - Double Glazing </w:t>
              <w:br/>
              <w:t xml:space="preserve"> - Septic tank </w:t>
              <w:br/>
              <w:t xml:space="preserve"> - Enclosed Fireplace </w:t>
              <w:br/>
              <w:t xml:space="preserve"> - Tennis </w:t>
              <w:br/>
            </w: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Nearest airport : </w:t>
              <w:br/>
              <w:t xml:space="preserve"> - Nearest airport : </w:t>
              <w:br/>
              <w:t xml:space="preserve"> - Nearest motorway : </w:t>
              <w:br/>
              <w:t xml:space="preserve"> - Neare</w:t>
            </w:r>
            <w:r>
              <w:t xml:space="preserve">st motorway : </w:t>
              <w:br/>
              <w:t xml:space="preserve"> - Calm </w:t>
              <w:br/>
              <w:t xml:space="preserve"> - Calm </w:t>
              <w:br/>
              <w:t xml:space="preserve"> - Nearest shops : </w:t>
              <w:br/>
              <w:t xml:space="preserve"> - Nearest shops : </w:t>
              <w:br/>
              <w:t xml:space="preserve"> - Outbuildings </w:t>
              <w:br/>
              <w:t xml:space="preserve"> - Outbuildings </w:t>
              <w:br/>
              <w:t xml:space="preserve"> - School </w:t>
              <w:br/>
              <w:t xml:space="preserve"> - School </w:t>
              <w:br/>
              <w:t xml:space="preserve"> - Railway Station </w:t>
              <w:br/>
              <w:t xml:space="preserve"> - Railway Station </w:t>
              <w:br/>
              <w:t xml:space="preserve"> - Hospital </w:t>
              <w:br/>
              <w:t xml:space="preserve"> - Hospital </w:t>
              <w:br/>
              <w:t xml:space="preserve"> - Broadband </w:t>
              <w:br/>
              <w:t xml:space="preserve"> - Broadband </w:t>
              <w:br/>
              <w:t xml:space="preserve"> - View </w:t>
              <w:br/>
              <w:t xml:space="preserve"> - View </w:t>
              <w:br/>
              <w:t xml:space="preserve"> - Bungalow </w:t>
              <w:br/>
              <w:t xml:space="preserve"> -</w:t>
            </w:r>
            <w:r>
              <w:t xml:space="preserve"> Bungalow </w:t>
              <w:br/>
              <w:br/>
              <w:t xml:space="preserve">LAND:</w:t>
              <w:br/>
              <w:t xml:space="preserve"> - Private carriage-way </w:t>
              <w:br/>
              <w:t xml:space="preserve"> - Private carriage-way </w:t>
              <w:br/>
              <w:t xml:space="preserve"> - Wooded </w:t>
              <w:br/>
              <w:t xml:space="preserve"> - Wooded </w:t>
              <w:br/>
              <w:t xml:space="preserve"> - Woods </w:t>
              <w:br/>
              <w:t xml:space="preserve"> - Woods </w:t>
              <w:br/>
              <w:t xml:space="preserve"> - fenced </w:t>
              <w:br/>
              <w:t xml:space="preserve"> - fenced </w:t>
              <w:br/>
              <w:t xml:space="preserve"> - Swimming Pool </w:t>
              <w:br/>
              <w:t xml:space="preserve"> - Swimming Pool </w:t>
              <w:br/>
              <w:t xml:space="preserve"> - Entrance gate </w:t>
              <w:br/>
              <w:t xml:space="preserve"> - Tennis Court </w:t>
              <w:br/>
              <w:t xml:space="preserve"> - Terrace </w:t>
              <w:br/>
              <w:br/>
              <w:t xml:space="preserve">WEB OPTIONS:</w:t>
              <w:br/>
              <w:t xml:space="preserve"> - Outstanding properties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114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31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C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D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2 500 €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2024-05-28T07:05:50Z</dcterms:modified>
</cp:coreProperties>
</file>