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8336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 Madame Carole PERU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Demeurant: 12, rue Archipêtre Noêl,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Maison de ville rénovée sur 4 étages, cadastrée au numéro 132 section AP pour une contenance totale de 63 m², sis: 12, rue Archipêtre Noêl,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125 000 €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7 500 €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13 juin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PERU</w:t>
      </w:r>
      <w:r>
        <w:rPr>
          <w:sz w:val="22"/>
        </w:rPr>
        <w:t xml:space="preserve"> Prénom :</w:t>
      </w:r>
      <w:r>
        <w:rPr>
          <w:b w:val="on"/>
          <w:sz w:val="22"/>
          <w:shd w:val="clear" w:fill="C0C0C0"/>
        </w:rPr>
        <w:t xml:space="preserve"> Carole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52 Route de l'Abbé Breuil, 24200 SARLAT-LA-CANÉDA</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13 juin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Carole PERU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7 500 €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13 juin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1</w:t>
    </w:r>
    <w:r>
      <w:fldChar w:fldCharType="end"/>
    </w:r>
  </w:p>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