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Philippe et Sylvie BRAULT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 57 rue du 8 mai, 49124 SAINT-BARTHELEMY-D'ANJOU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Maison en pierre rénovée avec terrain attenant, ensemble cadastré aux numéros 207, 209 et 210 section BI pour une contenance totale d’environ 1591 m², sise : 808, chemin de la Fontaine,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230 000 €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13 800 €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IFERGANE IMMOBILIER, CHRIS'IMMO, LVT IMMOBILIER, PLEIN SUD IMMO,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français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convenance, y compris sur fichiers informatiques librement accessibles (internet, intranet, email...) mais à vos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seulement; apposer un panneau de mise en vente à l'endroit que vous jugerez le plus approprié; publier toute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photographie. Le mandant pourra exercer son droit d'accès et de rectification conformément à l'article 27 de la loi du 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3- Indiquer,présenter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prêt, aux clauses et conditions nécessaires à l'accomplissement des présentes et reccueillir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négocier avec l'organisme préempteur, bénéficiaire de ce droit à la condition de nous en avertir, étant entendu que nous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faire verser par l'acquéreur seront détenus par tout séquestre habilité à cet effet (notaire ou agence titulaire d'une garantie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7- Dossier diagnostic technique: le vendeur fera effectuer sans délai l'ensemble des constats, états et diagnostics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rPr>
          <w:rFonts w:ascii="Times New Roman" w:hAnsi="Times New Roman" w:eastAsia="Times New Roman"/>
        </w:rPr>
        <w:t xml:space="preserve">8- Vous adjoidtre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u w:val="single"/>
        </w:rPr>
      </w:pPr>
      <w:r>
        <w:rPr>
          <w:rFonts w:ascii="Times New Roman" w:hAnsi="Times New Roman" w:eastAsia="Times New Roman"/>
          <w:b w:val="on"/>
          <w:u w:val="single"/>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10/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3 avril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MP113787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BRAULT</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Philippe et Sylvie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57 rue du 8 mai, 49124 SAINT-BARTHELEMY-D'ANJOU</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21 mars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Philippe et Sylvie BRAULT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13 800 €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21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