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Mr&amp; Mme  ELBISSER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 n°255 hameau de Thomas, 24200 SAINT- ANDRE-D ‘ALLAS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 Propriété comprenant une maison d’habitation, une grange et petite dépendance. Ensemble cadastré aux numéros 155, 156 et 1407 section A pour une contenance totale de 629 m², sise ; n°255 Hameau de Thomas, 24200 SAINT-ANDRE-D’ALLAS.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265 000 €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13 256€ soit 5.00%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IFERGANE IMMOBILIER, CHRIS'IMMO, LVT IMMOBILIER, PLEIN SUD IMMO, COUNTRY HOMES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convenance, y compris sur fichiers informatiques librement accessibles (internet, intranet, email...) mais à vos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seulement; apposer un panneau de mise en vente à l'endroit que vous jugerez le plus approprié; publier toute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photographie. Le mandant pourra exercer son droit d'accès et de rectification conformément à l'article 27 de la loi du 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3- Indiquer,présenter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prêt, aux clauses et conditions nécessaires à l'accomplissement des présentes et reccueillir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négocier avec l'organisme préempteur, bénéficiaire de ce droit à la condition de nous en avertir, étant entendu que nous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gardons le droit d'accepter ou refuser le prix proposé par le préemteur,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faire verser par l'acquéreur seront détenus par tout séquestre habilité à cet effet (notaire ou agencetitulaire d'une garantie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7- Dossier diagnostic technique: le vendeur fera effectuer sans délai l'ensemble des constats, états et diagnostics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rPr>
          <w:rFonts w:ascii="Times New Roman" w:hAnsi="Times New Roman" w:eastAsia="Times New Roman"/>
        </w:rPr>
        <w:t xml:space="preserve">8- Vous adjointre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u w:val="single"/>
        </w:rPr>
      </w:pPr>
      <w:r>
        <w:rPr>
          <w:rFonts w:ascii="Times New Roman" w:hAnsi="Times New Roman" w:eastAsia="Times New Roman"/>
          <w:b w:val="on"/>
          <w:u w:val="single"/>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10/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20 mars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MP113786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ELBISSER</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N°255 THOMAS,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20 mars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 &amp; Mme  ELBISSER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16 800 €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20 mars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