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DELPY Blanche, usufruitière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50 chemin de Leyrac, 24290 COLY SAINT AMAND.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MARIEL Evelyne, nue-propriétaire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820 route des Chataigniers, 54590, SAINT CREPIN ET CARLUCET.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VERGNE nelly, nue-propriétaire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666 route de Morlaas, 64160 BUROS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COY MARYLINE, nue-propriétaire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15 rue Jeanne JUILLET, 36200 ARGENTON-SUR CREUSE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Maiosn d'habitation ave dépendances et terrain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cadastré aux numéros 105, 161, 194 et 196 section ZC pour une contenance totale d'environ 4819 m² sis: 50, chemin de Leyrac, 24290 COLY SAIT AMAND.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360 000 €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21 600 €.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a-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b-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c-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d-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f-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g-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h-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i-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j-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23 février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MARIEL.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21 600 €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23 février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