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3749675" cy="1520190"/>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3749675" cy="152019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rPr>
      </w:pPr>
      <w:r>
        <w:rPr>
          <w:color w:val="004288"/>
        </w:rPr>
        <w:t xml:space="preserve">Mandat de vente Exclusif - </w:t>
      </w:r>
      <w:r>
        <w:rPr>
          <w:color w:val="004288"/>
          <w:sz w:val="32"/>
        </w:rPr>
        <w:t xml:space="preserve">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val="on"/>
          <w:sz w:val="24"/>
        </w:rPr>
      </w:pPr>
      <w:r>
        <w:rPr>
          <w:rFonts w:ascii="Times New Roman" w:hAnsi="Times New Roman" w:eastAsia="Times New Roman"/>
          <w:color w:val="004288"/>
          <w:sz w:val="24"/>
        </w:rPr>
        <w:t xml:space="preserve">(Avec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r>
        <w:rPr>
          <w:sz w:val="22"/>
          <w:u w:val="single"/>
        </w:rPr>
        <w:t xml:space="preserve">Nous soussignés </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rPr>
          <w:b w:val="on"/>
          <w:sz w:val="22"/>
        </w:rPr>
      </w:pPr>
      <w:r>
        <w:rPr>
          <w:b w:val="on"/>
          <w:sz w:val="22"/>
        </w:rPr>
        <w:t xml:space="preserve">SCI Les Mansaques</w:t>
        <w:br w:type="textWrapping"/>
      </w:r>
      <w:r>
        <w:rPr>
          <w:b w:val="on"/>
          <w:sz w:val="22"/>
        </w:rPr>
        <w:t xml:space="preserve">11 rue Gabriel PONCE,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58"/>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left="110" w:right="57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left="110" w:right="563" w:firstLine="62"/>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jc w:val="left"/>
        <w:rPr>
          <w:b w:val="on"/>
        </w:rPr>
      </w:pPr>
      <w:r>
        <w:rPr>
          <w:b w:val="on"/>
          <w:u w:val="single"/>
        </w:rPr>
        <w:t xml:space="preserve">1_Situation - Désignation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color w:val="auto"/>
          <w:sz w:val="14"/>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3"/>
        <w:rPr>
          <w:color w:val="auto"/>
          <w:sz w:val="22"/>
        </w:rPr>
      </w:pPr>
      <w:r>
        <w:rPr>
          <w:color w:val="auto"/>
          <w:sz w:val="22"/>
        </w:rPr>
        <w:t xml:space="preserve">Propriété comprenant une maison avec piscine et terrain attenant.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764"/>
        <w:rPr>
          <w:color w:val="000000"/>
          <w:sz w:val="22"/>
        </w:rPr>
      </w:pPr>
      <w:r>
        <w:rPr>
          <w:color w:val="auto"/>
          <w:sz w:val="22"/>
        </w:rPr>
        <w:t xml:space="preserve">Ensemble cadastré au n° 654 section AS  pour une contenance d'environ 6a 75ca, sise: </w:t>
      </w:r>
      <w:r>
        <w:rPr>
          <w:color w:val="000000"/>
          <w:sz w:val="22"/>
        </w:rPr>
        <w:t xml:space="preserve">11, rue Gabriel PONCE, 24290 MONTIGNAC-LASCAUX.</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Normal]"/>
        <w:widowControl w:val="on"/>
        <w:rPr>
          <w:sz w:val="22"/>
        </w:rPr>
      </w:pPr>
      <w:r>
        <w:rPr>
          <w:b w:val="on"/>
          <w:sz w:val="22"/>
          <w:u w:val="single"/>
        </w:rPr>
        <w:t xml:space="preserve"> Prix</w:t>
      </w:r>
      <w:r>
        <w:rPr>
          <w:b w:val="on"/>
          <w:sz w:val="22"/>
        </w:rPr>
        <w:t xml:space="preserve"> </w:t>
      </w:r>
      <w:r>
        <w:rPr>
          <w:sz w:val="22"/>
          <w:u w:val="single"/>
        </w:rPr>
        <w:t xml:space="preserve">:</w:t>
      </w:r>
      <w:r>
        <w:rPr>
          <w:sz w:val="22"/>
        </w:rPr>
        <w:t xml:space="preserve"> Le prix demandé par le mandant, vendeur des biens et droits ci-avant désignés est, sauf accord ultérieur  de : </w:t>
      </w:r>
      <w:r>
        <w:rPr>
          <w:b w:val="on"/>
          <w:sz w:val="22"/>
        </w:rPr>
        <w:t xml:space="preserve">350 000 €</w:t>
      </w:r>
      <w:r>
        <w:rPr>
          <w:rFonts w:ascii="Century Gothic" w:hAnsi="Century Gothic" w:eastAsia="Century Gothic"/>
          <w:color w:val="000000"/>
        </w:rPr>
        <w:t xml:space="preserve"> </w:t>
      </w:r>
      <w:r>
        <w:rPr>
          <w:b w:val="on"/>
          <w:sz w:val="22"/>
        </w:rPr>
        <w:t xml:space="preserve">net vendeur </w:t>
      </w:r>
      <w:r>
        <w:rPr>
          <w:sz w:val="22"/>
        </w:rPr>
        <w:t xml:space="preserve">payable comptant le jour de la signature de l'acte authentique, tant à l'aide de prêts que de fonds propres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3"/>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Verdana" w:hAnsi="Verdana" w:eastAsia="Verdana"/>
        </w:rPr>
      </w:pPr>
      <w:r>
        <w:rPr>
          <w:b w:val="on"/>
          <w:sz w:val="22"/>
          <w:u w:val="single"/>
        </w:rPr>
        <w:t xml:space="preserve">Honoraires</w:t>
      </w:r>
      <w:r>
        <w:rPr>
          <w:b w:val="on"/>
          <w:sz w:val="22"/>
        </w:rPr>
        <w:t xml:space="preserve"> </w:t>
      </w:r>
      <w:r>
        <w:rPr>
          <w:sz w:val="22"/>
        </w:rPr>
        <w:t xml:space="preserve">: Les honoraires de l'agence Maisons en Périgord à charge de l’acquéreur seront de: </w:t>
      </w:r>
      <w:r>
        <w:rPr>
          <w:b w:val="on"/>
          <w:sz w:val="22"/>
        </w:rPr>
        <w:t xml:space="preserve">21 000 €</w:t>
      </w:r>
      <w:r>
        <w:rPr>
          <w:sz w:val="22"/>
        </w:rPr>
        <w:t xml:space="preserve"> </w:t>
      </w:r>
      <w:r>
        <w:rPr>
          <w:b w:val="on"/>
          <w:sz w:val="22"/>
        </w:rPr>
        <w:t xml:space="preserve">TTC soit 6.00%</w:t>
      </w:r>
      <w:r>
        <w:rPr>
          <w:b w:val="on"/>
          <w:sz w:val="28"/>
        </w:rPr>
        <w:t xml:space="preserve"> </w:t>
      </w:r>
      <w:r>
        <w:rPr>
          <w:b w:val="on"/>
          <w:sz w:val="22"/>
        </w:rPr>
        <w:t xml:space="preserve">du prix net vendeur, soit un prix affiché Honoraires d'agences inclus de 371 000 €.</w:t>
      </w:r>
    </w:p>
    <w:p>
      <w:pPr>
        <w:pStyle w:val="[Normal]"/>
        <w:widowControl w:val="on"/>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line="242" w:lineRule="auto"/>
        <w:ind w:right="572"/>
        <w:rPr>
          <w:sz w:val="22"/>
        </w:rPr>
      </w:pPr>
      <w:r>
        <w:rPr>
          <w:b w:val="on"/>
          <w:sz w:val="24"/>
          <w:u w:val="single"/>
        </w:rPr>
        <w:t xml:space="preserve">2_Durée du mandat</w:t>
      </w:r>
      <w:r>
        <w:rPr>
          <w:b w:val="on"/>
          <w:sz w:val="22"/>
        </w:rPr>
        <w:t xml:space="preserve"> :</w:t>
      </w:r>
      <w:r>
        <w:rPr>
          <w:b w:val="on"/>
        </w:rPr>
        <w:t xml:space="preserve"> </w:t>
      </w:r>
      <w:r>
        <w:rPr>
          <w:sz w:val="22"/>
        </w:rPr>
        <w:t xml:space="preserve">Ce mandat vous est consenti pour une durée de douze (12) mois dont les trois </w:t>
      </w:r>
    </w:p>
    <w:p>
      <w:pPr>
        <w:pStyle w:val="Normal"/>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line="242" w:lineRule="auto"/>
        <w:ind w:right="572"/>
      </w:pPr>
      <w:r>
        <w:rPr>
          <w:sz w:val="22"/>
        </w:rPr>
        <w:t xml:space="preserve">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line="242" w:lineRule="auto"/>
        <w:ind w:right="572"/>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right="561"/>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adressée conformément aux dispositions du premier alinéa, le consommateur peut mettre gratuitement un terme au contrat, à tout moment à compter de la date de reconduction."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3"/>
        </w:rPr>
      </w:pPr>
    </w:p>
    <w:p>
      <w:pPr>
        <w:pStyle w:val="Heading 2"/>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val="on"/>
        </w:rPr>
      </w:pPr>
      <w:r>
        <w:rPr>
          <w:b w:val="on"/>
          <w:u w:val="single"/>
        </w:rPr>
        <w:t xml:space="preserve">3_Conditions particulières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15"/>
        </w:rPr>
      </w:pP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right="609"/>
        <w:jc w:val="left"/>
        <w:rPr>
          <w:rFonts w:ascii="Arial" w:hAnsi="Arial" w:eastAsia="Arial"/>
          <w:b w:val="off"/>
          <w:sz w:val="22"/>
        </w:rPr>
      </w:pPr>
      <w:r>
        <w:rPr>
          <w:rFonts w:ascii="Arial" w:hAnsi="Arial" w:eastAsia="Arial"/>
          <w:b w:val="off"/>
          <w:sz w:val="22"/>
        </w:rPr>
        <w:t xml:space="preserve">L'agence s'engage à prendre à ses frais l'ensemble des diagnostiques nécessaires à la vente du bien, hormis l'audit énergétique.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3"/>
        </w:rPr>
      </w:pPr>
    </w:p>
    <w:p>
      <w:pPr>
        <w:pStyle w:val="Normal"/>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val="on"/>
          <w:sz w:val="24"/>
          <w:u w:val="single"/>
        </w:rPr>
        <w:t xml:space="preserve">4_Surface habitable (si copropriété 'Loi Carrez') </w:t>
      </w:r>
      <w:r>
        <w:rPr>
          <w:b w:val="on"/>
          <w:u w:val="single"/>
        </w:rPr>
        <w:t xml:space="preserve">:</w:t>
      </w:r>
      <w:r>
        <w:rPr>
          <w:b w:val="on"/>
        </w:rPr>
        <w:t xml:space="preserve"> </w:t>
      </w:r>
      <w:r>
        <w:rPr>
          <w:sz w:val="22"/>
        </w:rPr>
        <w:t xml:space="preserve">Bien non concerné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5" w:lineRule="auto"/>
        <w:ind w:right="566"/>
      </w:pPr>
      <w:r>
        <w:drawing>
          <wp:anchor distT="0" distB="0" distL="0" distR="0" simplePos="0" relativeHeight="1000000" behindDoc="0" locked="0" layoutInCell="1" allowOverlap="1" hidden="false">
            <wp:simplePos x="0" y="0"/>
            <wp:positionH relativeFrom="column">
              <wp:posOffset>886460</wp:posOffset>
            </wp:positionH>
            <wp:positionV relativeFrom="paragraph">
              <wp:posOffset>2553970</wp:posOffset>
            </wp:positionV>
            <wp:extent cx="1002665" cy="691515"/>
            <wp:wrapTopAndBottom/>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1850390</wp:posOffset>
            </wp:positionH>
            <wp:positionV relativeFrom="paragraph">
              <wp:posOffset>2762250</wp:posOffset>
            </wp:positionV>
            <wp:extent cx="847090" cy="405130"/>
            <wp:wrapTopAndBottom/>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2622550</wp:posOffset>
            </wp:positionV>
            <wp:extent cx="619760" cy="619760"/>
            <wp:wrapTopAndBottom/>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4354830</wp:posOffset>
            </wp:positionH>
            <wp:positionV relativeFrom="paragraph">
              <wp:posOffset>2599690</wp:posOffset>
            </wp:positionV>
            <wp:extent cx="603250" cy="603885"/>
            <wp:wrapTopAndBottom/>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1978660</wp:posOffset>
            </wp:positionV>
            <wp:extent cx="872490" cy="391160"/>
            <wp:wrapSquare wrapText="bothSides"/>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drawing>
          <wp:anchor distT="0" distB="0" distL="0" distR="0" simplePos="0" relativeHeight="1000007" behindDoc="0" locked="0" layoutInCell="1" allowOverlap="1" hidden="false">
            <wp:simplePos x="0" y="0"/>
            <wp:positionH relativeFrom="column">
              <wp:posOffset>5049520</wp:posOffset>
            </wp:positionH>
            <wp:positionV relativeFrom="paragraph">
              <wp:posOffset>2479040</wp:posOffset>
            </wp:positionV>
            <wp:extent cx="753745" cy="866140"/>
            <wp:wrapSquare wrapText="bothSides"/>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53745" cy="866140"/>
                    </a:xfrm>
                    <a:prstGeom prst="rect">
                      <a:avLst/>
                    </a:prstGeom>
                  </pic:spPr>
                </pic:pic>
              </a:graphicData>
            </a:graphic>
          </wp:anchor>
        </w:drawing>
      </w:r>
      <w:r>
        <w:rPr>
          <w:b w:val="on"/>
          <w:sz w:val="24"/>
        </w:rPr>
        <w:t xml:space="preserve">5</w:t>
      </w:r>
      <w:r>
        <w:rPr>
          <w:sz w:val="24"/>
        </w:rPr>
        <w:t xml:space="preserve">- </w:t>
      </w:r>
      <w:r>
        <w:rPr>
          <w:b w:val="on"/>
          <w:sz w:val="24"/>
          <w:u w:val="single"/>
        </w:rPr>
        <w:t xml:space="preserve">Moyens de diffusion des annonces commerciales</w:t>
      </w:r>
      <w:r>
        <w:rPr>
          <w:b w:val="on"/>
          <w:sz w:val="24"/>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d'apparaître ponctuellement sur certains portails français et étranger en fonction de nos choix de campagnes de communication, et notamment : </w:t>
      </w:r>
      <w:r>
        <w:rPr>
          <w:b w:val="on"/>
          <w:sz w:val="22"/>
        </w:rPr>
        <w:t xml:space="preserve">Se Loger.com, A Vendre A Louer, Annonces Jaunes, Les clefs du Midi, Le Bon Coin, Logic Immo, Acheter Louer, Paru-Vendu, Explorimmo, green accres, etc... </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r>
        <w:drawing>
          <wp:anchor distT="0" distB="0" distL="0" distR="0" simplePos="0" relativeHeight="1000008" behindDoc="0" locked="0" layoutInCell="1" allowOverlap="1" hidden="false">
            <wp:simplePos x="0" y="0"/>
            <wp:positionH relativeFrom="column">
              <wp:posOffset>148590</wp:posOffset>
            </wp:positionH>
            <wp:positionV relativeFrom="paragraph">
              <wp:posOffset>200660</wp:posOffset>
            </wp:positionV>
            <wp:extent cx="648970" cy="737235"/>
            <wp:wrapTopAndBottom/>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48970" cy="737235"/>
                    </a:xfrm>
                    <a:prstGeom prst="rect">
                      <a:avLst/>
                    </a:prstGeom>
                  </pic:spPr>
                </pic:pic>
              </a:graphicData>
            </a:graphic>
          </wp:anchor>
        </w:drawing>
      </w:r>
      <w:r>
        <w:drawing>
          <wp:anchor distT="0" distB="0" distL="0" distR="1066800" simplePos="0" relativeHeight="1000009" behindDoc="0" locked="0" layoutInCell="1" allowOverlap="1" hidden="false">
            <wp:simplePos x="0" y="0"/>
            <wp:positionH relativeFrom="column">
              <wp:posOffset>890270</wp:posOffset>
            </wp:positionH>
            <wp:positionV relativeFrom="paragraph">
              <wp:posOffset>162560</wp:posOffset>
            </wp:positionV>
            <wp:extent cx="669925" cy="795020"/>
            <wp:wrapTopAndBottom/>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669925" cy="79502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1000125" cy="3670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2774950</wp:posOffset>
            </wp:positionH>
            <wp:positionV relativeFrom="paragraph">
              <wp:posOffset>347980</wp:posOffset>
            </wp:positionV>
            <wp:extent cx="525780" cy="532130"/>
            <wp:wrapTopAndBottom/>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525780" cy="532130"/>
                    </a:xfrm>
                    <a:prstGeom prst="rect">
                      <a:avLst/>
                    </a:prstGeom>
                  </pic:spPr>
                </pic:pic>
              </a:graphicData>
            </a:graphic>
          </wp:anchor>
        </w:drawing>
      </w:r>
      <w:r>
        <w:drawing>
          <wp:anchor distT="0" distB="0" distL="0" distR="0" simplePos="0" relativeHeight="1000012"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5" name="_x0000_i14"/>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947420" cy="562610"/>
                    </a:xfrm>
                    <a:prstGeom prst="rect">
                      <a:avLst/>
                    </a:prstGeom>
                  </pic:spPr>
                </pic:pic>
              </a:graphicData>
            </a:graphic>
          </wp:anchor>
        </w:drawing>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0"/>
        </w:rPr>
      </w:pPr>
    </w:p>
    <w:p>
      <w:pPr>
        <w:pStyle w:val="Normal"/>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95"/>
      </w:pPr>
      <w:r>
        <w:rPr>
          <w:b w:val="on"/>
          <w:sz w:val="24"/>
          <w:u w:val="single"/>
        </w:rPr>
        <w:t xml:space="preserve">6-Plus-value et T.V.A:</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5"/>
        </w:rPr>
      </w:pPr>
    </w:p>
    <w:p>
      <w:pPr>
        <w:pStyle w:val="Normal"/>
        <w:widowControl w:val="off"/>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0"/>
      </w:pPr>
      <w:r>
        <w:rPr>
          <w:b w:val="on"/>
          <w:sz w:val="24"/>
          <w:u w:val="single"/>
        </w:rPr>
        <w:t xml:space="preserve">7_Pouvoirs du mandataire</w:t>
      </w:r>
      <w:r>
        <w:rPr>
          <w:b w:val="on"/>
          <w:u w:val="single"/>
        </w:rPr>
        <w:t xml:space="preserv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2"/>
        </w:numPr>
        <w:tabs>
          <w:tab w:val="left" w:pos="110"/>
          <w:tab w:val="left" w:pos="41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5" w:hanging="110"/>
        <w:rPr>
          <w:sz w:val="22"/>
        </w:rPr>
      </w:pPr>
      <w:r>
        <w:rPr>
          <w:sz w:val="22"/>
        </w:rPr>
        <w:t xml:space="preserve">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left="110" w:right="563"/>
        <w:jc w:val="left"/>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Réclamer toutes les pièces utiles auprès de toutes personnes privées ou publiques, notamment le certificat d'urbanisme.</w:t>
      </w:r>
    </w:p>
    <w:p>
      <w:pPr>
        <w:pStyle w:val="List Paragraph"/>
        <w:widowControl w:val="off"/>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rPr>
          <w:sz w:val="22"/>
        </w:rPr>
      </w:pPr>
    </w:p>
    <w:p>
      <w:pPr>
        <w:pStyle w:val="List Paragraph"/>
        <w:widowControl w:val="off"/>
        <w:numPr>
          <w:ilvl w:val="0"/>
          <w:numId w:val="2"/>
        </w:numPr>
        <w:tabs>
          <w:tab w:val="left" w:pos="110"/>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6" w:hanging="110"/>
        <w:rPr>
          <w:sz w:val="22"/>
        </w:rPr>
      </w:pPr>
      <w:r>
        <w:rPr>
          <w:sz w:val="22"/>
        </w:rPr>
        <w:t xml:space="preserve">Indiquer, présenter et faire visiter les biens à vendre à toutes personnes. A cet effet, nous nous obligeons à vous assurer le moyen de visiter pendant le cours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List Paragraph"/>
        <w:widowControl w:val="off"/>
        <w:numPr>
          <w:ilvl w:val="0"/>
          <w:numId w:val="2"/>
        </w:numPr>
        <w:tabs>
          <w:tab w:val="left" w:pos="110"/>
          <w:tab w:val="left" w:pos="3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4" w:hanging="110"/>
        <w:rPr>
          <w:sz w:val="22"/>
        </w:rPr>
      </w:pPr>
      <w:r>
        <w:rPr>
          <w:sz w:val="22"/>
        </w:rPr>
        <w:t xml:space="preserve">Etablir en notre nom tous actes sous seing privé (compromis en particulier), (éventuellement assortis d'une demande de prêt aux clauses et conditions nécessaires à l'accomplissement des présentes) et recueillir la signature de l'acquéreur.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2"/>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65" w:hanging="110"/>
        <w:rPr>
          <w:sz w:val="22"/>
        </w:rPr>
      </w:pPr>
      <w:r>
        <w:rPr>
          <w:sz w:val="22"/>
        </w:rPr>
        <w:t xml:space="preserve">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préempteur si ce prix est inférieur au prix demandé.</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2"/>
        </w:rPr>
      </w:pPr>
    </w:p>
    <w:p>
      <w:pPr>
        <w:pStyle w:val="List Paragraph"/>
        <w:widowControl w:val="off"/>
        <w:numPr>
          <w:ilvl w:val="0"/>
          <w:numId w:val="2"/>
        </w:numPr>
        <w:tabs>
          <w:tab w:val="left" w:pos="110"/>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0" w:lineRule="auto"/>
        <w:ind w:left="110" w:right="570" w:hanging="110"/>
        <w:rPr>
          <w:sz w:val="22"/>
        </w:rPr>
      </w:pPr>
      <w:r>
        <w:rPr>
          <w:sz w:val="22"/>
        </w:rPr>
        <w:t xml:space="preserve">Séquestre : En vue de garantir la bonne exécution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List Paragraph"/>
        <w:widowControl w:val="off"/>
        <w:numPr>
          <w:ilvl w:val="0"/>
          <w:numId w:val="2"/>
        </w:numPr>
        <w:tabs>
          <w:tab w:val="left" w:pos="110"/>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Application de l'article 46 de la loi n°65-557 du 10 juillet 1965 (vente d'un lot ou d'une fraction de lot, dite loi Carrez) : 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
        <w:rPr>
          <w:b w:val="off"/>
          <w:color w:val="auto"/>
          <w:sz w:val="22"/>
        </w:rPr>
      </w:pPr>
    </w:p>
    <w:p>
      <w:pPr>
        <w:pStyle w:val="List Paragraph"/>
        <w:widowControl w:val="off"/>
        <w:numPr>
          <w:ilvl w:val="0"/>
          <w:numId w:val="2"/>
        </w:numPr>
        <w:tabs>
          <w:tab w:val="left" w:pos="110"/>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71" w:hanging="110"/>
        <w:rPr>
          <w:sz w:val="22"/>
        </w:rPr>
      </w:pPr>
      <w:r>
        <w:rPr>
          <w:sz w:val="22"/>
        </w:rPr>
        <w:t xml:space="preserve">Dossier diagnostic technique : le vendeur fera effectuer sans délai l'ensemble des constats, états et diagnostics obligatoires. Ce dossier devra être annexé à l'engagement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1"/>
        </w:rPr>
      </w:pPr>
    </w:p>
    <w:p>
      <w:pPr>
        <w:pStyle w:val="List Paragraph"/>
        <w:widowControl w:val="off"/>
        <w:numPr>
          <w:ilvl w:val="0"/>
          <w:numId w:val="2"/>
        </w:numPr>
        <w:tabs>
          <w:tab w:val="left" w:pos="110"/>
          <w:tab w:val="left" w:pos="3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Vous adjoindre ou substituer tout professionnel de votre choix pour l'accomplissement des présentes.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List Paragraph"/>
        <w:widowControl w:val="off"/>
        <w:numPr>
          <w:ilvl w:val="0"/>
          <w:numId w:val="2"/>
        </w:numPr>
        <w:tabs>
          <w:tab w:val="left" w:pos="110"/>
          <w:tab w:val="left" w:pos="4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right="563" w:hanging="110"/>
        <w:rPr>
          <w:sz w:val="22"/>
        </w:rPr>
      </w:pPr>
      <w:r>
        <w:rPr>
          <w:sz w:val="22"/>
        </w:rPr>
        <w:t xml:space="preserve">Copropriété : le mandant autorise expréssement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3"/>
        </w:rPr>
      </w:pP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val="on"/>
        </w:rPr>
      </w:pPr>
      <w:r>
        <w:rPr>
          <w:b w:val="on"/>
          <w:u w:val="single"/>
        </w:rPr>
        <w:t xml:space="preserve">8- Obligations du mandant :</w:t>
      </w:r>
    </w:p>
    <w:p>
      <w:pPr>
        <w:pStyle w:val="List Paragraph"/>
        <w:widowControl w:val="off"/>
        <w:numPr>
          <w:ilvl w:val="0"/>
          <w:numId w:val="3"/>
        </w:numPr>
        <w:tabs>
          <w:tab w:val="left" w:pos="110"/>
          <w:tab w:val="left" w:pos="2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5"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3"/>
        </w:numPr>
        <w:tabs>
          <w:tab w:val="left" w:pos="110"/>
          <w:tab w:val="left" w:pos="2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jc w:val="both"/>
        <w:rPr>
          <w:sz w:val="22"/>
        </w:rPr>
      </w:pPr>
      <w:r>
        <w:rPr>
          <w:sz w:val="22"/>
        </w:rPr>
        <w:t xml:space="preserve">Nous nous interdisons de vendre sans votre concours, y compris par un autre intermédiaire, à un acquéreur qui nous aurait été présenté par vous, pendant la durée du mandat et un an après son expiration.</w:t>
      </w:r>
    </w:p>
    <w:p>
      <w:pPr>
        <w:pStyle w:val="List Paragraph"/>
        <w:widowControl w:val="off"/>
        <w:numPr>
          <w:ilvl w:val="0"/>
          <w:numId w:val="3"/>
        </w:numPr>
        <w:tabs>
          <w:tab w:val="left" w:pos="110"/>
          <w:tab w:val="left" w:pos="2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575"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1"/>
        </w:rPr>
      </w:pP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jc w:val="left"/>
        <w:rPr>
          <w:b w:val="on"/>
        </w:rPr>
      </w:pPr>
      <w:r>
        <w:rPr>
          <w:b w:val="on"/>
          <w:u w:val="single"/>
        </w:rPr>
        <w:t xml:space="preserve">9- Option mandat Exclusif :</w:t>
      </w:r>
    </w:p>
    <w:p>
      <w:pPr>
        <w:pStyle w:val="List Paragraph"/>
        <w:widowControl w:val="off"/>
        <w:numPr>
          <w:ilvl w:val="0"/>
          <w:numId w:val="3"/>
        </w:numPr>
        <w:tabs>
          <w:tab w:val="left" w:pos="110"/>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 w:after="0" w:line="240" w:lineRule="auto"/>
        <w:ind w:left="110" w:right="567" w:hanging="110"/>
        <w:rPr>
          <w:sz w:val="22"/>
        </w:rPr>
      </w:pPr>
      <w:r>
        <w:rPr>
          <w:sz w:val="22"/>
        </w:rPr>
        <w:t xml:space="preserve">Le présent mandat vous est consenti avec exclusivité, nous nous interdisons de vendre par l'intermédiaire d'une autre agence.</w:t>
      </w:r>
    </w:p>
    <w:p>
      <w:pPr>
        <w:pStyle w:val="List Paragraph"/>
        <w:widowControl w:val="off"/>
        <w:numPr>
          <w:ilvl w:val="0"/>
          <w:numId w:val="3"/>
        </w:numPr>
        <w:tabs>
          <w:tab w:val="left" w:pos="110"/>
          <w:tab w:val="left" w:pos="3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after="0" w:line="242" w:lineRule="auto"/>
        <w:ind w:left="110" w:right="564"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3"/>
        </w:numPr>
        <w:tabs>
          <w:tab w:val="left" w:pos="110"/>
          <w:tab w:val="left" w:pos="25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564" w:hanging="110"/>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u w:val="single"/>
        </w:rPr>
      </w:pPr>
    </w:p>
    <w:p>
      <w:pPr>
        <w:pStyle w:val="Heading 2"/>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b w:val="on"/>
        </w:rPr>
      </w:pPr>
      <w:r>
        <w:rPr>
          <w:b w:val="on"/>
          <w:u w:val="single"/>
        </w:rPr>
        <w:t xml:space="preserve">10-  Actions particulières du mandat Exclusif :</w:t>
      </w:r>
    </w:p>
    <w:p>
      <w:pPr>
        <w:pStyle w:val="List Paragraph"/>
        <w:widowControl w:val="off"/>
        <w:numPr>
          <w:ilvl w:val="0"/>
          <w:numId w:val="3"/>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0" w:hanging="110"/>
        <w:rPr>
          <w:sz w:val="22"/>
        </w:rPr>
      </w:pPr>
      <w:r>
        <w:rPr>
          <w:sz w:val="22"/>
        </w:rPr>
        <w:t xml:space="preserve">Accompagnement si besoin est pour le rendez-vous des diagnostics techniques.</w:t>
      </w:r>
    </w:p>
    <w:p>
      <w:pPr>
        <w:pStyle w:val="List Paragraph"/>
        <w:widowControl w:val="off"/>
        <w:numPr>
          <w:ilvl w:val="0"/>
          <w:numId w:val="3"/>
        </w:numPr>
        <w:tabs>
          <w:tab w:val="left" w:pos="110"/>
          <w:tab w:val="left" w:pos="24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 w:after="0" w:line="242" w:lineRule="auto"/>
        <w:ind w:left="110" w:right="854" w:hanging="110"/>
        <w:rPr>
          <w:sz w:val="22"/>
        </w:rPr>
      </w:pPr>
      <w:r>
        <w:rPr>
          <w:sz w:val="22"/>
        </w:rPr>
        <w:t xml:space="preserve">Présence permanente de votre annonce sur les sites des agences membres de l'association LABEL PIERRES.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7"/>
        <w:jc w:val="both"/>
        <w:rPr>
          <w:b w:val="off"/>
          <w:color w:val="auto"/>
          <w:sz w:val="22"/>
        </w:rPr>
      </w:pPr>
      <w:r>
        <w:rPr>
          <w:color w:val="auto"/>
          <w:u w:val="single"/>
        </w:rPr>
        <w:t xml:space="preserve">11-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ne débuteront qu'à l'expiration de ce délai de rétractation.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jc w:val="both"/>
        <w:rPr>
          <w:sz w:val="22"/>
        </w:rPr>
      </w:pPr>
      <w:r>
        <w:rPr>
          <w:b w:val="on"/>
          <w:sz w:val="24"/>
          <w:u w:val="single"/>
        </w:rPr>
        <w:t xml:space="preserve">12 - Option Exécution immédiate du mandat</w:t>
      </w:r>
      <w:r>
        <w:rPr>
          <w:b w:val="on"/>
          <w:sz w:val="24"/>
        </w:rPr>
        <w:t xml:space="preserve"> </w:t>
      </w:r>
      <w:r>
        <w:rPr>
          <w:sz w:val="22"/>
        </w:rPr>
        <w:t xml:space="preserve">(si le mandat est signé à l'agence)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left="110" w:right="568"/>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peuvent débuter dés aujourd'hui, mais nous conservons la faculté de nous rétracter.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b w:val="off"/>
          <w:color w:val="auto"/>
          <w:sz w:val="21"/>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jc w:val="both"/>
        <w:rPr>
          <w:b w:val="off"/>
          <w:color w:val="auto"/>
          <w:sz w:val="22"/>
        </w:rPr>
      </w:pPr>
      <w:r>
        <w:rPr>
          <w:b w:val="off"/>
          <w:color w:val="auto"/>
          <w:sz w:val="22"/>
        </w:rPr>
        <w:t xml:space="preserve">Fait à Montignac le 12janvier  2024 en deux exemplaires: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déclare et reconnaît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2"/>
        </w:rPr>
      </w:pPr>
    </w:p>
    <w:p>
      <w:pPr>
        <w:pStyle w:val="Body Text"/>
        <w:tabs>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ind w:right="167"/>
        <w:rPr>
          <w:b w:val="off"/>
          <w:color w:val="auto"/>
          <w:sz w:val="22"/>
        </w:rPr>
      </w:pPr>
      <w:r>
        <w:rPr>
          <w:b w:val="off"/>
          <w:color w:val="auto"/>
          <w:sz w:val="22"/>
        </w:rPr>
        <w:t xml:space="preserve">Le Propriétaire			Maisons en Périgord</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r>
        <w:rPr>
          <w:b w:val="off"/>
          <w:color w:val="auto"/>
          <w:sz w:val="22"/>
        </w:rPr>
        <w:t xml:space="preserve">"Bon pour mandat"			"Mandat Accepté"</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b w:val="off"/>
          <w:color w:val="auto"/>
          <w:sz w:val="22"/>
        </w:rPr>
      </w:pP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pPr>
    </w:p>
    <w:p>
      <w:pPr>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sz w:val="24"/>
        </w:rPr>
        <w:sectPr>
          <w:pgSz w:w="11910" w:h="16840"/>
          <w:pgMar w:top="840" w:right="320" w:bottom="280" w:left="740" w:header="720" w:footer="720"/>
        </w:sect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on"/>
          <w:sz w:val="32"/>
        </w:rPr>
      </w:pPr>
      <w:r>
        <w:rPr>
          <w:b w:val="on"/>
          <w:sz w:val="32"/>
        </w:rP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1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6"/>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0"/>
        <w:rPr>
          <w:b w:val="on"/>
          <w:sz w:val="24"/>
        </w:rPr>
      </w:pPr>
      <w:r>
        <w:rPr>
          <w:b w:val="on"/>
          <w:sz w:val="24"/>
          <w:u w:val="single"/>
        </w:rPr>
        <w:t xml:space="preserve">Nom :</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r>
        <w:rPr>
          <w:sz w:val="24"/>
        </w:rPr>
        <w:t xml:space="preserve">Signatures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0"/>
        </w:rPr>
        <w:sectPr>
          <w:pgSz w:w="11910" w:h="16840"/>
          <w:pgMar w:top="840" w:right="320" w:bottom="280" w:left="740" w:header="720" w:footer="720"/>
        </w:sect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421"/>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433"/>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448"/>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448"/>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609"/>
        <w:rPr>
          <w:sz w:val="22"/>
        </w:rPr>
      </w:pPr>
      <w:r>
        <w:rPr>
          <w:b w:val="on"/>
          <w:color w:val="004288"/>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578"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www.maisons-en-perigord.com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rPr>
          <w:b w:val="off"/>
          <w:color w:val="auto"/>
          <w:sz w:val="25"/>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142"/>
        <w:rPr>
          <w:b w:val="on"/>
          <w:sz w:val="24"/>
        </w:rPr>
      </w:pPr>
      <w:r>
        <w:rPr>
          <w:b w:val="on"/>
          <w:sz w:val="24"/>
        </w:rPr>
        <w:t xml:space="preserve">SCI Les Mansaques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568"/>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562"/>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576"/>
        <w:jc w:val="both"/>
        <w:rPr>
          <w:sz w:val="22"/>
        </w:rPr>
      </w:pPr>
      <w:r>
        <w:rPr>
          <w:b w:val="on"/>
          <w:sz w:val="22"/>
          <w:u w:val="single"/>
        </w:rPr>
        <w:t xml:space="preserve">Honoraires en cas de pleine réussite de la mission confiée</w:t>
      </w:r>
      <w:r>
        <w:rPr>
          <w:b w:val="on"/>
          <w:sz w:val="22"/>
        </w:rPr>
        <w:t xml:space="preserve"> </w:t>
      </w:r>
      <w:r>
        <w:rPr>
          <w:sz w:val="22"/>
        </w:rPr>
        <w:t xml:space="preserve">: 21 000 € TTC soit 6.00%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563"/>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561"/>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568"/>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72"/>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différends."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561"/>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110"/>
        <w:jc w:val="left"/>
        <w:rPr>
          <w:rFonts w:ascii="Arial" w:hAnsi="Arial" w:eastAsia="Arial"/>
          <w:sz w:val="22"/>
          <w:u w:val="single"/>
        </w:rPr>
      </w:pPr>
      <w:r>
        <w:rPr>
          <w:rFonts w:ascii="Arial" w:hAnsi="Arial" w:eastAsia="Arial"/>
          <w:sz w:val="22"/>
          <w:u w:val="single"/>
        </w:rPr>
        <w:t xml:space="preserve">Clause de consentement RGPD</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Nous vous remercions de nous confier votre bien immobilier à la vente.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Pr>
          <w:b w:val="off"/>
          <w:color w:val="auto"/>
          <w:sz w:val="22"/>
        </w:rPr>
      </w:pPr>
      <w:r>
        <w:rPr>
          <w:b w:val="off"/>
          <w:color w:val="auto"/>
          <w:sz w:val="22"/>
        </w:rPr>
        <w:t xml:space="preserve">Avant de pouvoir enregistrer les données nécessaires, nous vous prions de lire ce qui suit.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3"/>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Nature des données à caractère personnel à traiter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Responsable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Finalités du traitement des données à caractère personnel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ind w:left="110"/>
        <w:jc w:val="both"/>
        <w:rPr>
          <w:b w:val="off"/>
          <w:color w:val="auto"/>
          <w:sz w:val="22"/>
        </w:rPr>
      </w:pPr>
      <w:r>
        <w:rPr>
          <w:b w:val="off"/>
          <w:color w:val="auto"/>
          <w:sz w:val="22"/>
        </w:rPr>
        <w:t xml:space="preserve">Les données collectées dans ce cadre ne sont utilisées dans aucun autre but.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3"/>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Quelles données à caractère personnel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Destinataire des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left="110"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ind w:left="110"/>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765"/>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Mesures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rPr>
          <w:b w:val="off"/>
          <w:color w:val="auto"/>
          <w:sz w:val="22"/>
        </w:rPr>
      </w:pPr>
      <w:r>
        <w:rPr>
          <w:b w:val="off"/>
          <w:color w:val="auto"/>
          <w:sz w:val="22"/>
        </w:rPr>
        <w:t xml:space="preserve">Ces procédures s’appliqunt également à tous les sous-traitants auxquels le cabinet fait appel.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left="110"/>
        <w:jc w:val="both"/>
        <w:rPr>
          <w:sz w:val="22"/>
        </w:rPr>
        <w:sectPr>
          <w:pgSz w:w="11910" w:h="16840"/>
          <w:pgMar w:top="840" w:right="320" w:bottom="280" w:left="740" w:header="720" w:footer="720"/>
        </w:sectPr>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Durée de conservation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8"/>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ind w:left="110"/>
        <w:rPr>
          <w:b w:val="off"/>
          <w:color w:val="auto"/>
          <w:sz w:val="22"/>
        </w:rPr>
      </w:pPr>
      <w:r>
        <w:rPr>
          <w:b w:val="off"/>
          <w:color w:val="auto"/>
          <w:sz w:val="22"/>
        </w:rPr>
        <w:t xml:space="preserve">Vous avez le droit de consulter et de faire rectifier les données visées.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ind w:left="110"/>
        <w:rPr>
          <w:b w:val="off"/>
          <w:color w:val="auto"/>
          <w:sz w:val="22"/>
        </w:rPr>
      </w:pPr>
      <w:r>
        <w:rPr>
          <w:b w:val="off"/>
          <w:color w:val="auto"/>
          <w:sz w:val="22"/>
        </w:rPr>
        <w:t xml:space="preserve">Vous avez également le droit à l’oubli, à la portabilité des données et à l’opposition.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4"/>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Plaintes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left="110"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left="110"/>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sz w:val="22"/>
        </w:rPr>
      </w:pPr>
    </w:p>
    <w:p>
      <w:pPr>
        <w:pStyle w:val="Heading 3"/>
        <w:numPr>
          <w:ilvl w:val="0"/>
          <w:numId w:val="4"/>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Consentement</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left="110"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rPr>
          <w:b w:val="off"/>
          <w:color w:val="auto"/>
          <w:sz w:val="18"/>
        </w:rPr>
      </w:pPr>
    </w:p>
    <w:p>
      <w:pPr>
        <w:pStyle w:val="Body Text"/>
        <w:tabs>
          <w:tab w:val="left" w:pos="110"/>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ind w:left="110"/>
        <w:rPr>
          <w:b w:val="off"/>
          <w:color w:val="auto"/>
          <w:sz w:val="22"/>
        </w:rPr>
      </w:pPr>
      <w:r>
        <w:rPr>
          <w:b w:val="off"/>
          <w:color w:val="auto"/>
          <w:sz w:val="22"/>
        </w:rPr>
        <w:t xml:space="preserve">Fait à    MONTIGnac               Le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2"/>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0"/>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Signature(s) du (des) consommateur(s)	</w:t>
      </w: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Signature du mandataire Maisons en Périgord</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Calibri Light">
    <w:charset w:val="00"/>
    <w:family w:val="auto"/>
    <w:pitch w:val="default"/>
  </w:font>
  <w:font w:name="Tahoma">
    <w:charset w:val="00"/>
    <w:family w:val="auto"/>
    <w:pitch w:val="default"/>
  </w:font>
  <w:font w:name="Century Gothic">
    <w:charset w:val="00"/>
    <w:family w:val="auto"/>
    <w:pitch w:val="default"/>
  </w:font>
  <w:font w:name="Verdana">
    <w:charset w:val="00"/>
    <w:family w:val="auto"/>
    <w:pitch w:val="default"/>
  </w:font>
  <w:font w:name="Garamond">
    <w:charset w:val="00"/>
    <w:family w:val="auto"/>
    <w:pitch w:val="default"/>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decimal"/>
      <w:suff w:val="tab"/>
      <w:lvlText w:val="%1-"/>
      <w:pPr>
        <w:ind w:left="110" w:hanging="110"/>
        <w:tabs>
          <w:tab w:val="num" w:pos="110"/>
        </w:tabs>
      </w:pPr>
      <w:rPr>
        <w:rFonts w:hint="default" w:ascii="Arial" w:hAnsi="Arial" w:eastAsia="Arial"/>
        <w:b w:val="off"/>
        <w:i w:val="off"/>
        <w:strike w:val="off"/>
        <w:color w:val="auto"/>
        <w:position w:val="0"/>
        <w:sz w:val="22"/>
        <w:u w:val="none"/>
        <w:shd w:val="clear" w:fill="auto"/>
      </w:rPr>
    </w:lvl>
  </w:abstractNum>
  <w:abstractNum w:abstractNumId="2">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3">
    <w:multiLevelType w:val="singleLevel"/>
    <w:lvl w:ilvl="0">
      <w:start w:val="1"/>
      <w:numFmt w:val="decimal"/>
      <w:suff w:val="tab"/>
      <w:lvlText w:val="%1."/>
      <w:pPr>
        <w:ind w:left="470" w:hanging="360"/>
        <w:tabs>
          <w:tab w:val="num" w:pos="470"/>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jc w:val="center"/>
    </w:pPr>
    <w:rPr>
      <w:sz w:val="24"/>
    </w:rPr>
  </w:style>
  <w:style w:type="paragraph" w:styleId="Heading 3">
    <w:name w:val="Heading 3"/>
    <w:basedOn w:val="Normal"/>
    <w:next w:val="Heading 3"/>
    <w:qFormat/>
    <w:pPr>
      <w:jc w:val="center"/>
    </w:pPr>
    <w:rPr>
      <w:rFonts w:ascii="Times New Roman" w:hAnsi="Times New Roman" w:eastAsia="Times New Roman"/>
      <w:b w:val="on"/>
    </w:rPr>
  </w:style>
  <w:style w:type="paragraph" w:styleId="List Paragraph">
    <w:name w:val="List Paragraph"/>
    <w:basedOn w:val="Normal"/>
    <w:next w:val="List Paragraph"/>
    <w:qFormat/>
    <w:pPr>
      <w:spacing w:after="160" w:line="257" w:lineRule="auto"/>
      <w:ind w:left="720"/>
    </w:pPr>
    <w:rPr>
      <w:sz w:val="24"/>
    </w:rPr>
  </w:style>
  <w:style w:type="paragraph" w:styleId="Heading 1">
    <w:name w:val="Heading 1"/>
    <w:basedOn w:val="Normal"/>
    <w:next w:val="Heading 1"/>
    <w:qFormat/>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shd w:val="clear" w:fill="F2F2F2"/>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rFonts w:ascii="Calibri Light" w:hAnsi="Calibri Light" w:eastAsia="Calibri Light"/>
      <w:color w:val="17365D"/>
      <w:sz w:val="52"/>
    </w:rPr>
  </w:style>
  <w:style w:type="paragraph" w:styleId="Subtitle PHPDOCX">
    <w:name w:val="Subtitle PHPDOCX"/>
    <w:basedOn w:val="Normal"/>
    <w:next w:val="Normal"/>
    <w:qFormat/>
    <w:pPr/>
    <w:rPr>
      <w:rFonts w:ascii="Calibri Light" w:hAnsi="Calibri Light" w:eastAsia="Calibri Light"/>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Default Paragraph Font">
    <w:name w:val="Default Paragraph Font"/>
    <w:qFormat/>
    <w:rPr/>
  </w:style>
  <w:style w:type="character" w:styleId="Heading 1 Char">
    <w:name w:val="Heading 1 Char"/>
    <w:basedOn w:val="Default Paragraph Font"/>
    <w:qFormat/>
    <w:rPr>
      <w:rFonts w:ascii="Arial" w:hAnsi="Arial" w:eastAsia="Arial"/>
      <w:sz w:val="40"/>
    </w:rPr>
  </w:style>
  <w:style w:type="character" w:styleId="Heading 2 Char">
    <w:name w:val="Heading 2 Char"/>
    <w:basedOn w:val="Default Paragraph Font"/>
    <w:qFormat/>
    <w:rPr>
      <w:rFonts w:ascii="Arial" w:hAnsi="Arial" w:eastAsia="Arial"/>
      <w:sz w:val="34"/>
    </w:rPr>
  </w:style>
  <w:style w:type="character" w:styleId="Heading 3 Char">
    <w:name w:val="Heading 3 Char"/>
    <w:basedOn w:val="Default Paragraph Font"/>
    <w:qFormat/>
    <w:rPr>
      <w:rFonts w:ascii="Arial" w:hAnsi="Arial" w:eastAsia="Arial"/>
      <w:sz w:val="30"/>
    </w:rPr>
  </w:style>
  <w:style w:type="character" w:styleId="Heading 4 Char">
    <w:name w:val="Heading 4 Char"/>
    <w:basedOn w:val="Default Paragraph Font"/>
    <w:qFormat/>
    <w:rPr>
      <w:rFonts w:ascii="Arial" w:hAnsi="Arial" w:eastAsia="Arial"/>
      <w:b w:val="on"/>
      <w:sz w:val="26"/>
    </w:rPr>
  </w:style>
  <w:style w:type="character" w:styleId="Heading 5 Char">
    <w:name w:val="Heading 5 Char"/>
    <w:basedOn w:val="Default Paragraph Font"/>
    <w:qFormat/>
    <w:rPr>
      <w:rFonts w:ascii="Arial" w:hAnsi="Arial" w:eastAsia="Arial"/>
      <w:b w:val="on"/>
      <w:sz w:val="24"/>
    </w:rPr>
  </w:style>
  <w:style w:type="character" w:styleId="Heading 6 Char">
    <w:name w:val="Heading 6 Char"/>
    <w:basedOn w:val="Default Paragraph Font"/>
    <w:qFormat/>
    <w:rPr>
      <w:rFonts w:ascii="Arial" w:hAnsi="Arial" w:eastAsia="Arial"/>
      <w:b w:val="on"/>
      <w:sz w:val="22"/>
    </w:rPr>
  </w:style>
  <w:style w:type="character" w:styleId="Heading 7 Char">
    <w:name w:val="Heading 7 Char"/>
    <w:basedOn w:val="Default Paragraph Font"/>
    <w:qFormat/>
    <w:rPr>
      <w:rFonts w:ascii="Arial" w:hAnsi="Arial" w:eastAsia="Arial"/>
      <w:b w:val="on"/>
      <w:i w:val="on"/>
      <w:sz w:val="22"/>
    </w:rPr>
  </w:style>
  <w:style w:type="character" w:styleId="Heading 8 Char">
    <w:name w:val="Heading 8 Char"/>
    <w:basedOn w:val="Default Paragraph Font"/>
    <w:qFormat/>
    <w:rPr>
      <w:rFonts w:ascii="Arial" w:hAnsi="Arial" w:eastAsia="Arial"/>
      <w:i w:val="on"/>
      <w:sz w:val="22"/>
    </w:rPr>
  </w:style>
  <w:style w:type="character" w:styleId="Heading 9 Char">
    <w:name w:val="Heading 9 Char"/>
    <w:basedOn w:val="Default Paragraph Font"/>
    <w:qFormat/>
    <w:rPr>
      <w:rFonts w:ascii="Arial" w:hAnsi="Arial" w:eastAsia="Arial"/>
      <w:i w:val="on"/>
      <w:sz w:val="21"/>
    </w:rPr>
  </w:style>
  <w:style w:type="character" w:styleId="Title Char">
    <w:name w:val="Title Char"/>
    <w:basedOn w:val="Default Paragraph Font"/>
    <w:qFormat/>
    <w:rPr>
      <w:sz w:val="48"/>
    </w:rPr>
  </w:style>
  <w:style w:type="character" w:styleId="Subtitle Char">
    <w:name w:val="Subtitle Char"/>
    <w:basedOn w:val="Default Paragraph Font"/>
    <w:qFormat/>
    <w:rPr>
      <w:sz w:val="24"/>
    </w:rPr>
  </w:style>
  <w:style w:type="character" w:styleId="Header Char">
    <w:name w:val="Header Char"/>
    <w:basedOn w:val="Default Paragraph Font"/>
    <w:qFormat/>
    <w:rPr/>
  </w:style>
  <w:style w:type="character" w:styleId="Footer Char">
    <w:name w:val="Footer Char"/>
    <w:basedOn w:val="Default Paragraph Font"/>
    <w:qFormat/>
    <w:rPr/>
  </w:style>
  <w:style w:type="character" w:styleId="footnote reference">
    <w:name w:val="footnote reference"/>
    <w:basedOn w:val="Default Paragraph Font"/>
    <w:qFormat/>
    <w:rPr>
      <w:position w:val="6"/>
    </w:rPr>
  </w:style>
  <w:style w:type="character" w:styleId="endnote reference">
    <w:name w:val="endnote reference"/>
    <w:basedOn w:val="Default Paragraph Font"/>
    <w:qFormat/>
    <w:rPr>
      <w:position w:val="6"/>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Quote Char">
    <w:name w:val="Quote Char"/>
    <w:qFormat/>
    <w:rPr>
      <w:i w:val="on"/>
    </w:rPr>
  </w:style>
  <w:style w:type="character" w:styleId="Intense Quote Char">
    <w:name w:val="Intense Quote Char"/>
    <w:qFormat/>
    <w:rPr>
      <w:i w:val="on"/>
    </w:rPr>
  </w:style>
  <w:style w:type="character" w:styleId="Caption Char">
    <w:name w:val="Caption Char"/>
    <w:qFormat/>
    <w:rPr/>
  </w:style>
  <w:style w:type="character" w:styleId="Footnote Text Char">
    <w:name w:val="Footnote Text Char"/>
    <w:qFormat/>
    <w:rPr>
      <w:sz w:val="18"/>
    </w:rPr>
  </w:style>
  <w:style w:type="character" w:styleId="Endnote Text Char">
    <w:name w:val="Endnote Text Char"/>
    <w:qFormat/>
    <w:rPr>
      <w:sz w:val="20"/>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60" w:line="259" w:lineRule="auto"/>
    </w:pPr>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Calibri Light" w:hAnsi="Calibri Light" w:eastAsia="Calibri Light"/>
      <w:color w:val="17365D"/>
      <w:sz w:val="52"/>
    </w:rPr>
  </w:style>
  <w:style w:type="character" w:styleId="Subtitle Car PHPDOCX">
    <w:name w:val="Subtitle Car PHPDOCX"/>
    <w:basedOn w:val="Default Paragraph Font PHPDOCX"/>
    <w:qFormat/>
    <w:rPr>
      <w:rFonts w:ascii="Calibri Light" w:hAnsi="Calibri Light" w:eastAsia="Calibri Light"/>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numbering" Target="numbering.xml"/>
	<Relationship Id="rId00021" Type="http://schemas.openxmlformats.org/officeDocument/2006/relationships/fontTable" Target="fontTable.xml"/>
	<Relationship Id="rId000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