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3749675" cy="1520190"/>
                  <wp:docPr id="1" name="Picture 1"/>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3749675" cy="152019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1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2"/>
        </w:rPr>
      </w:pPr>
      <w:r>
        <w:rPr>
          <w:color w:val="004288"/>
        </w:rPr>
        <w:t xml:space="preserve">Mandat de vente Exclusif - </w:t>
      </w:r>
      <w:r>
        <w:rPr>
          <w:color w:val="004288"/>
          <w:sz w:val="32"/>
        </w:rPr>
        <w:t xml:space="preserve">N°8421</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center"/>
        <w:rPr>
          <w:b w:val="on"/>
          <w:sz w:val="24"/>
        </w:rPr>
      </w:pPr>
      <w:r>
        <w:rPr>
          <w:rFonts w:ascii="Times New Roman" w:hAnsi="Times New Roman" w:eastAsia="Times New Roman"/>
          <w:color w:val="004288"/>
          <w:sz w:val="24"/>
        </w:rPr>
        <w:t xml:space="preserve">(Avec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Pr>
          <w:b w:val="on"/>
          <w:sz w:val="24"/>
        </w:rPr>
      </w:pPr>
      <w:r>
        <w:rPr>
          <w:b w:val="on"/>
          <w:sz w:val="24"/>
        </w:rPr>
        <w:t xml:space="preserve">Mr et Mme  PARKER</w:t>
        <w:br w:type="textWrapping"/>
      </w:r>
      <w:r>
        <w:rPr>
          <w:b w:val="on"/>
          <w:sz w:val="24"/>
        </w:rPr>
        <w:t xml:space="preserve">31 chemin du chêne - La Selve, 24290 LA CHAPELLE-AUBAREIL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jc w:val="left"/>
        <w:rPr>
          <w:b w:val="on"/>
        </w:rPr>
      </w:pPr>
      <w:r>
        <w:rPr>
          <w:b w:val="on"/>
          <w:u w:val="single"/>
        </w:rPr>
        <w:t xml:space="preserve">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3"/>
        <w:ind w:left="110"/>
        <w:rPr>
          <w:color w:val="auto"/>
          <w:sz w:val="22"/>
        </w:rPr>
      </w:pPr>
      <w:r>
        <w:rPr>
          <w:color w:val="auto"/>
          <w:sz w:val="22"/>
        </w:rPr>
        <w:t xml:space="preserve">Propriété comprenant une maison avec piscine et terrain attenant.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764"/>
        <w:rPr>
          <w:color w:val="auto"/>
          <w:sz w:val="22"/>
        </w:rPr>
      </w:pPr>
      <w:r>
        <w:rPr>
          <w:color w:val="auto"/>
          <w:sz w:val="22"/>
        </w:rPr>
        <w:t xml:space="preserve">Ensemble cadastré aux n°40, 810 et 812 section D pour une contenance d'environ 95a 32ca, sise: "La Grimaudie", 24210 BARS.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Normal]"/>
        <w:widowControl w:val="on"/>
        <w:rPr>
          <w:rFonts w:ascii="Century Gothic" w:hAnsi="Century Gothic" w:eastAsia="Century Gothic"/>
          <w:color w:val="000000"/>
          <w:sz w:val="22"/>
        </w:rPr>
      </w:pPr>
      <w:r>
        <w:rPr>
          <w:b w:val="on"/>
          <w:sz w:val="22"/>
          <w:u w:val="single"/>
        </w:rPr>
        <w:t xml:space="preserve">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333 000€</w:t>
      </w:r>
      <w:r>
        <w:rPr>
          <w:rFonts w:ascii="Century Gothic" w:hAnsi="Century Gothic" w:eastAsia="Century Gothic"/>
          <w:color w:val="000000"/>
        </w:rPr>
        <w:t xml:space="preserve"> </w:t>
      </w:r>
      <w:r>
        <w:rPr>
          <w:b w:val="on"/>
          <w:sz w:val="22"/>
        </w:rPr>
        <w:t xml:space="preserve">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rPr>
      </w:pPr>
      <w:r>
        <w:rPr>
          <w:b w:val="on"/>
          <w:sz w:val="22"/>
          <w:u w:val="single"/>
        </w:rPr>
        <w:t xml:space="preserve">Honoraires</w:t>
      </w:r>
      <w:r>
        <w:rPr>
          <w:b w:val="on"/>
          <w:sz w:val="22"/>
        </w:rPr>
        <w:t xml:space="preserve"> </w:t>
      </w:r>
      <w:r>
        <w:rPr>
          <w:sz w:val="22"/>
        </w:rPr>
        <w:t xml:space="preserve">: Les honoraires de l'agence Maisons en Périgord à charge de l’acquéreur seront de: </w:t>
      </w:r>
      <w:r>
        <w:rPr>
          <w:b w:val="on"/>
          <w:sz w:val="22"/>
        </w:rPr>
        <w:t xml:space="preserve">16 000€</w:t>
      </w:r>
      <w:r>
        <w:rPr>
          <w:sz w:val="22"/>
        </w:rPr>
        <w:t xml:space="preserve"> </w:t>
      </w:r>
      <w:r>
        <w:rPr>
          <w:b w:val="on"/>
          <w:sz w:val="22"/>
        </w:rPr>
        <w:t xml:space="preserve">TTC soit 4.80%</w:t>
      </w:r>
      <w:r>
        <w:rPr>
          <w:b w:val="on"/>
          <w:sz w:val="28"/>
        </w:rPr>
        <w:t xml:space="preserve"> </w:t>
      </w:r>
      <w:r>
        <w:rPr>
          <w:b w:val="on"/>
          <w:sz w:val="22"/>
        </w:rPr>
        <w:t xml:space="preserve">du prix net vendeur, soit un prix affiché Honoraires d'agences inclus de 349 000 €.</w:t>
      </w:r>
    </w:p>
    <w:p>
      <w:pPr>
        <w:pStyle w:val="[Normal]"/>
        <w:widowControl w:val="on"/>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List Paragraph"/>
        <w:widowControl w:val="off"/>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377" w:right="572" w:hanging="267"/>
      </w:pPr>
      <w:r>
        <w:rPr>
          <w:b w:val="on"/>
          <w:u w:val="single"/>
        </w:rPr>
        <w:t xml:space="preserve">Durée du mandat</w:t>
      </w:r>
      <w:r>
        <w:rPr>
          <w:b w:val="on"/>
        </w:rPr>
        <w:t xml:space="preserve"> : </w:t>
      </w:r>
      <w:r>
        <w:rPr>
          <w:sz w:val="22"/>
        </w:rPr>
        <w:t xml:space="preserve">Ce mandat vous est consenti pour une durée de trois(3)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adressée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jc w:val="left"/>
        <w:rPr>
          <w:b w:val="on"/>
        </w:rPr>
      </w:pPr>
      <w:r>
        <w:rPr>
          <w:b w:val="on"/>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rFonts w:ascii="Arial" w:hAnsi="Arial" w:eastAsia="Arial"/>
          <w:b w:val="off"/>
          <w:sz w:val="22"/>
        </w:rPr>
      </w:pPr>
      <w:r>
        <w:rPr>
          <w:rFonts w:ascii="Arial" w:hAnsi="Arial" w:eastAsia="Arial"/>
          <w:b w:val="off"/>
          <w:sz w:val="22"/>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hanging="267"/>
      </w:pPr>
      <w:r>
        <w:rPr>
          <w:b w:val="on"/>
          <w:u w:val="single"/>
        </w:rPr>
        <w:t xml:space="preserve">Surface habitable (si copropriété 'Loi Carrez') :</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left="377" w:right="566" w:hanging="267"/>
      </w:pPr>
      <w:r>
        <w:drawing>
          <wp:anchor distT="0" distB="0" distL="0" distR="0" simplePos="0" relativeHeight="1000000" behindDoc="0" locked="0" layoutInCell="1" allowOverlap="1" hidden="false">
            <wp:simplePos x="0" y="0"/>
            <wp:positionH relativeFrom="column">
              <wp:posOffset>885825</wp:posOffset>
            </wp:positionH>
            <wp:positionV relativeFrom="paragraph">
              <wp:posOffset>2554605</wp:posOffset>
            </wp:positionV>
            <wp:extent cx="1002665" cy="691515"/>
            <wp:wrapTopAndBottom/>
            <wp:docPr id="3" name="image3.jpeg"/>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1849755</wp:posOffset>
            </wp:positionH>
            <wp:positionV relativeFrom="paragraph">
              <wp:posOffset>2762885</wp:posOffset>
            </wp:positionV>
            <wp:extent cx="847090" cy="405130"/>
            <wp:wrapTopAndBottom/>
            <wp:docPr id="4" name="image4.jpeg"/>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2623185</wp:posOffset>
            </wp:positionV>
            <wp:extent cx="619760" cy="619760"/>
            <wp:wrapTopAndBottom/>
            <wp:docPr id="5" name="image5.jpeg"/>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image6.jpeg"/>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4355465</wp:posOffset>
            </wp:positionH>
            <wp:positionV relativeFrom="paragraph">
              <wp:posOffset>2599690</wp:posOffset>
            </wp:positionV>
            <wp:extent cx="603250" cy="603885"/>
            <wp:wrapTopAndBottom/>
            <wp:docPr id="7" name="image7.jpeg"/>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1978025</wp:posOffset>
            </wp:positionV>
            <wp:extent cx="872490" cy="391160"/>
            <wp:wrapSquare wrapText="bothSides"/>
            <wp:docPr id="8" name="image8.jpeg"/>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tx_id_2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10" name="_tx_id_3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53745" cy="866140"/>
                    </a:xfrm>
                    <a:prstGeom prst="rect">
                      <a:avLst/>
                    </a:prstGeom>
                  </pic:spPr>
                </pic:pic>
              </a:graphicData>
            </a:graphic>
          </wp:anchor>
        </w:drawing>
      </w:r>
      <w:r>
        <w:rPr>
          <w:b w:val="on"/>
          <w:u w:val="single"/>
        </w:rPr>
        <w:t xml:space="preserve">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français et étranger en fonction de nos choix de campagnes de communication, et notamment : </w:t>
      </w:r>
      <w:r>
        <w:rPr>
          <w:b w:val="on"/>
          <w:sz w:val="22"/>
        </w:rPr>
        <w:t xml:space="preserve">Se Loger.com, A Vendre A Louer, Annonces Jaunes, Les clefs du Midi, Le Bon Coin, Logic Immo, Acheter Louer, Paru-Vendu, Explorimmo, ®-©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200025</wp:posOffset>
            </wp:positionV>
            <wp:extent cx="648970" cy="737235"/>
            <wp:wrapTopAndBottom/>
            <wp:docPr id="11" name="image11.jpeg"/>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48970" cy="737235"/>
                    </a:xfrm>
                    <a:prstGeom prst="rect">
                      <a:avLst/>
                    </a:prstGeom>
                  </pic:spPr>
                </pic:pic>
              </a:graphicData>
            </a:graphic>
          </wp:anchor>
        </w:drawing>
      </w:r>
      <w:r>
        <w:drawing>
          <wp:anchor distT="0" distB="635" distL="0" distR="1066800" simplePos="0" relativeHeight="1000009" behindDoc="0" locked="0" layoutInCell="1" allowOverlap="1" hidden="false">
            <wp:simplePos x="0" y="0"/>
            <wp:positionH relativeFrom="column">
              <wp:posOffset>890905</wp:posOffset>
            </wp:positionH>
            <wp:positionV relativeFrom="paragraph">
              <wp:posOffset>161925</wp:posOffset>
            </wp:positionV>
            <wp:extent cx="669925" cy="795020"/>
            <wp:wrapTopAndBottom/>
            <wp:docPr id="12" name="_tx_id_4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3" name="_tx_id_5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2775585</wp:posOffset>
            </wp:positionH>
            <wp:positionV relativeFrom="paragraph">
              <wp:posOffset>347980</wp:posOffset>
            </wp:positionV>
            <wp:extent cx="525780" cy="532130"/>
            <wp:wrapTopAndBottom/>
            <wp:docPr id="14" name="image14.jpeg"/>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5" name="image15.jpeg"/>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right="595" w:hanging="267"/>
      </w:pPr>
      <w:r>
        <w:rPr>
          <w:b w:val="on"/>
          <w:u w:val="single"/>
        </w:rPr>
        <w:t xml:space="preserve">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List Paragraph"/>
        <w:widowControl w:val="off"/>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77" w:right="560" w:hanging="267"/>
      </w:pPr>
      <w:r>
        <w:rPr>
          <w:b w:val="on"/>
          <w:u w:val="single"/>
        </w:rPr>
        <w:t xml:space="preserve">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r>
        <w:rPr>
          <w:rFonts w:ascii="Arial" w:hAnsi="Arial" w:eastAsia="Arial"/>
          <w:sz w:val="22"/>
        </w:rPr>
        <w:t xml:space="preserve">Le bien ne pourra faire l'objet d'une campagne publicitaire publique qu'à compter de la transmission au mandataire du DPE.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Réclamer toutes les pièces utiles auprès de toutes personnes privées ou publiques, notamment le certificat d'urbanisme.</w:t>
      </w:r>
    </w:p>
    <w:p>
      <w:pPr>
        <w:pStyle w:val="List Paragraph"/>
        <w:widowControl w:val="off"/>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rPr>
          <w:sz w:val="22"/>
        </w:rPr>
      </w:pPr>
    </w:p>
    <w:p>
      <w:pPr>
        <w:pStyle w:val="List Paragraph"/>
        <w:widowControl w:val="off"/>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3"/>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3"/>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1"/>
        <w:jc w:val="both"/>
        <w:rPr>
          <w:b w:val="off"/>
          <w:color w:val="auto"/>
          <w:sz w:val="22"/>
        </w:rPr>
      </w:pPr>
      <w:r>
        <w:rPr>
          <w:b w:val="off"/>
          <w:color w:val="auto"/>
          <w:sz w:val="22"/>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3"/>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3"/>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jc w:val="left"/>
        <w:rPr>
          <w:b w:val="on"/>
        </w:rPr>
      </w:pPr>
      <w:r>
        <w:rPr>
          <w:b w:val="on"/>
          <w:u w:val="single"/>
        </w:rPr>
        <w:t xml:space="preserve">Obligations du mandant :</w:t>
      </w:r>
    </w:p>
    <w:p>
      <w:pPr>
        <w:pStyle w:val="List Paragraph"/>
        <w:widowControl w:val="off"/>
        <w:numPr>
          <w:ilvl w:val="0"/>
          <w:numId w:val="5"/>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5"/>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p>
    <w:p>
      <w:pPr>
        <w:pStyle w:val="List Paragraph"/>
        <w:widowControl w:val="off"/>
        <w:numPr>
          <w:ilvl w:val="0"/>
          <w:numId w:val="5"/>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jc w:val="left"/>
        <w:rPr>
          <w:b w:val="on"/>
        </w:rPr>
      </w:pPr>
      <w:r>
        <w:rPr>
          <w:b w:val="on"/>
          <w:u w:val="single"/>
        </w:rPr>
        <w:t xml:space="preserve">Option mandat Exclusif :</w:t>
      </w:r>
    </w:p>
    <w:p>
      <w:pPr>
        <w:pStyle w:val="List Paragraph"/>
        <w:widowControl w:val="off"/>
        <w:numPr>
          <w:ilvl w:val="0"/>
          <w:numId w:val="5"/>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5"/>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5"/>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rPr>
      </w:pPr>
      <w:r>
        <w:rPr>
          <w:b w:val="on"/>
          <w:u w:val="single"/>
        </w:rPr>
        <w:t xml:space="preserve">12 Actions particulières du mandat Exclusif :</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Accompagnement si besoin est pour le rendez-vous des diagnostics techniques.</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13.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3 janvier 2025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rPr>
          <w:b w:val="off"/>
          <w:color w:val="auto"/>
          <w:sz w:val="22"/>
        </w:rPr>
      </w:pPr>
      <w:r>
        <w:rPr>
          <w:b w:val="off"/>
          <w:color w:val="auto"/>
          <w:sz w:val="22"/>
        </w:rPr>
        <w:t xml:space="preserve">Le Propriétaire			Maisons en Périgord</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r>
        <w:rPr>
          <w:b w:val="off"/>
          <w:color w:val="auto"/>
          <w:sz w:val="22"/>
        </w:rPr>
        <w:t xml:space="preserve">"Bon pour mandat"			"Mandat Accepté"</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pPr>
    </w:p>
    <w:p>
      <w:pPr>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sz w:val="24"/>
        </w:rPr>
        <w:sectPr>
          <w:pgSz w:w="11910" w:h="16840"/>
          <w:pgMar w:top="840" w:right="320" w:bottom="280" w:left="740" w:header="720" w:footer="720"/>
        </w:sect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on"/>
          <w:sz w:val="32"/>
        </w:rPr>
      </w:pPr>
      <w:r>
        <w:rPr>
          <w:b w:val="on"/>
          <w:sz w:val="32"/>
        </w:rP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 Monsieur et madame PARKER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r>
        <w:rPr>
          <w:sz w:val="24"/>
        </w:rPr>
        <w:t xml:space="preserve">Signatures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pPr>
    </w:p>
    <w:p>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0"/>
        </w:rPr>
        <w:sectPr>
          <w:pgSz w:w="11910" w:h="16840"/>
          <w:pgMar w:top="840" w:right="320" w:bottom="280" w:left="740" w:header="720" w:footer="720"/>
        </w:sect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www.maisons-en-perigord.com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2"/>
        <w:rPr>
          <w:b w:val="on"/>
          <w:sz w:val="24"/>
        </w:rPr>
      </w:pPr>
      <w:r>
        <w:rPr>
          <w:b w:val="on"/>
          <w:sz w:val="24"/>
        </w:rPr>
        <w:t xml:space="preserve">Mr et Mme  PARKER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22 500€ TTC soit 6.00%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différends."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jc w:val="left"/>
        <w:rPr>
          <w:rFonts w:ascii="Arial" w:hAnsi="Arial" w:eastAsia="Arial"/>
          <w:sz w:val="22"/>
          <w:u w:val="single"/>
        </w:rPr>
      </w:pPr>
      <w:r>
        <w:rPr>
          <w:rFonts w:ascii="Arial" w:hAnsi="Arial" w:eastAsia="Arial"/>
          <w:sz w:val="22"/>
          <w:u w:val="singl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sectPr>
          <w:pgSz w:w="11910" w:h="16840"/>
          <w:pgMar w:top="840" w:right="320" w:bottom="280" w:left="740" w:header="720" w:footer="720"/>
        </w:sectPr>
        <w:rPr>
          <w:b w:val="off"/>
          <w:color w:val="auto"/>
          <w:sz w:val="22"/>
        </w:rPr>
      </w:pPr>
      <w:r>
        <w:rPr>
          <w:b w:val="off"/>
          <w:color w:val="auto"/>
          <w:sz w:val="22"/>
        </w:rPr>
        <w:t xml:space="preserve">Ces procédures s’appliquent également à tous les sous-traitants auxquels le cabinet fait appel.</w:t>
      </w: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ind w:left="110"/>
        <w:rPr>
          <w:b w:val="off"/>
          <w:color w:val="auto"/>
          <w:sz w:val="22"/>
        </w:rPr>
      </w:pPr>
      <w:r>
        <w:rPr>
          <w:b w:val="off"/>
          <w:color w:val="auto"/>
          <w:sz w:val="22"/>
        </w:rP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ind w:left="110"/>
        <w:rPr>
          <w:b w:val="off"/>
          <w:color w:val="auto"/>
          <w:sz w:val="22"/>
        </w:rPr>
      </w:pPr>
      <w:r>
        <w:rPr>
          <w:b w:val="off"/>
          <w:color w:val="auto"/>
          <w:sz w:val="22"/>
        </w:rP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Signature(s) du (des) consomateur(s)	Signature du mandataire Maisons en Périgord</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pgSz w:w="11910" w:h="16840"/>
      <w:pgMar w:top="840" w:right="320" w:bottom="280" w:left="740" w:header="720" w:footer="72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Calibri Light">
    <w:charset w:val="00"/>
    <w:family w:val="swiss"/>
    <w:pitch w:val="variable"/>
  </w:font>
  <w:font w:name="Tahoma">
    <w:charset w:val="00"/>
    <w:family w:val="auto"/>
    <w:pitch w:val="default"/>
  </w:font>
  <w:font w:name="Century Gothic">
    <w:charset w:val="00"/>
    <w:family w:val="swiss"/>
    <w:pitch w:val="variable"/>
  </w:font>
  <w:font w:name="Verdana">
    <w:charset w:val="00"/>
    <w:family w:val="swiss"/>
    <w:pitch w:val="variable"/>
  </w:font>
  <w:font w:name="Garamond">
    <w:charset w:val="00"/>
    <w:family w:val="roman"/>
    <w:pitch w:val="variable"/>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2">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3">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4">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5">
    <w:multiLevelType w:val="singleLevel"/>
    <w:lvl w:ilvl="0">
      <w:start w:val="1"/>
      <w:numFmt w:val="decimal"/>
      <w:suff w:val="tab"/>
      <w:lvlText w:val="%1."/>
      <w:pPr>
        <w:ind w:left="470" w:hanging="360"/>
        <w:tabs>
          <w:tab w:val="num" w:pos="470"/>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heading 3">
    <w:name w:val="heading 3"/>
    <w:basedOn w:val="Normal"/>
    <w:next w:val="heading 3"/>
    <w:qFormat/>
    <w:pPr>
      <w:jc w:val="center"/>
    </w:pPr>
    <w:rPr>
      <w:rFonts w:ascii="Times New Roman" w:hAnsi="Times New Roman" w:eastAsia="Times New Roman"/>
      <w:b w:val="on"/>
    </w:rPr>
  </w:style>
  <w:style w:type="paragraph" w:styleId="heading 1">
    <w:name w:val="heading 1"/>
    <w:basedOn w:val="Normal"/>
    <w:next w:val="heading 1"/>
    <w:qFormat/>
    <w:pPr/>
    <w:rPr>
      <w:sz w:val="24"/>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Body Text 3">
    <w:name w:val="Body Text 3"/>
    <w:basedOn w:val="Normal"/>
    <w:next w:val="Body Text 3"/>
    <w:qFormat/>
    <w:pPr/>
    <w:rPr>
      <w:rFonts w:ascii="Times New Roman" w:hAnsi="Times New Roman" w:eastAsia="Times New Roman"/>
      <w:b w:val="on"/>
      <w:sz w:val="22"/>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rFonts w:ascii="Calibri Light" w:hAnsi="Calibri Light" w:eastAsia="Calibri Light"/>
      <w:color w:val="17365D"/>
      <w:sz w:val="52"/>
    </w:rPr>
  </w:style>
  <w:style w:type="paragraph" w:styleId="Subtitle PHPDOCX">
    <w:name w:val="Subtitle PHPDOCX"/>
    <w:basedOn w:val="Normal"/>
    <w:next w:val="Normal"/>
    <w:qFormat/>
    <w:pPr/>
    <w:rPr>
      <w:rFonts w:ascii="Calibri Light" w:hAnsi="Calibri Light" w:eastAsia="Calibri Light"/>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Calibri Light" w:hAnsi="Calibri Light" w:eastAsia="Calibri Light"/>
      <w:color w:val="17365D"/>
      <w:sz w:val="52"/>
    </w:rPr>
  </w:style>
  <w:style w:type="character" w:styleId="Subtitle Car PHPDOCX">
    <w:name w:val="Subtitle Car PHPDOCX"/>
    <w:basedOn w:val="Default Paragraph Font PHPDOCX"/>
    <w:qFormat/>
    <w:rPr>
      <w:rFonts w:ascii="Calibri Light" w:hAnsi="Calibri Light" w:eastAsia="Calibri Light"/>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