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pPr>
      <w:r>
        <w:t xml:space="preserve">Messieurs GHEYSENS Jean-Louis et Alain</w:t>
      </w:r>
    </w:p>
    <w:p>
      <w:pPr>
        <w:pStyle w:val="[Normal]"/>
        <w:widowControl w:val="on"/>
      </w:pPr>
      <w:r>
        <w:t xml:space="preserve">La Borie, 24580 FLEURAC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à usage d'habitation avec dépendances, ensemble cadastré aux numéros 137, 138, 139, 140, 141, 142, 143, 144, 145, 147, 148, 176, 178, et 182 section AM pour une contenannnncec totale d'environ6ha 90a 43 ca sis: La Borie, 24580 FLEURAC.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650 000 €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26 000 €.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14 septembre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Messieurs GHEYSENS.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3,85% TTC soit 26 000 €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14 septembre 2023,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