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PERIGORD Noir - Région MONTIGNAC</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drawing>
          <wp:inline distT="0" distB="0" distL="0" distR="0">
            <wp:extent cx="5120640" cy="216027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5120640" cy="2160270"/>
                    </a:xfrm>
                    <a:prstGeom prst="rect">
                      <a:avLst/>
                    </a:prstGeom>
                  </pic:spPr>
                </pic:pic>
              </a:graphicData>
            </a:graphic>
          </wp:inline>
        </w:drawing>
      </w:r>
    </w:p>
    <w:p>
      <w:pPr>
        <w:pStyle w:val="[Normal]"/>
        <w:jc w:val="center"/>
        <w:rPr>
          <w:rFonts w:ascii="Century Gothic" w:hAnsi="Century Gothic" w:eastAsia="Century Gothic"/>
          <w:sz w:val="36"/>
        </w:rPr>
      </w:pPr>
      <w:r>
        <w:rPr>
          <w:rFonts w:ascii="Century Gothic" w:hAnsi="Century Gothic" w:eastAsia="Century Gothic"/>
          <w:sz w:val="36"/>
        </w:rPr>
        <w:t xml:space="preserve">Réf: BR853</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740 000 €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Montignac-Valojoulx - Propriété de caractère composée de plusieurs batiments en pierre, situation exceptionnelle, cachet indeniable, potentiel à developper</w:t>
      </w:r>
      <w:r>
        <w:rPr>
          <w:rFonts w:ascii="Century Gothic" w:hAnsi="Century Gothic" w:eastAsia="Century Gothic"/>
          <w:sz w:val="36"/>
        </w:rPr>
        <w:br w:type="textWrapp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En Périgord noir à Valojoulx sur les abords de Montignac-Lascaux, vous trouverez ici un produit rare pour de nombreuses raisons.</w:t>
      </w:r>
    </w:p>
    <w:p>
      <w:pPr>
        <w:pStyle w:val="[Normal]"/>
        <w:jc w:val="center"/>
        <w:rPr>
          <w:rFonts w:ascii="Century Gothic" w:hAnsi="Century Gothic" w:eastAsia="Century Gothic"/>
          <w:sz w:val="32"/>
        </w:rPr>
      </w:pPr>
    </w:p>
    <w:p>
      <w:pPr>
        <w:pStyle w:val="[Normal]"/>
        <w:jc w:val="center"/>
        <w:rPr>
          <w:rFonts w:ascii="Century Gothic" w:hAnsi="Century Gothic" w:eastAsia="Century Gothic"/>
          <w:sz w:val="32"/>
        </w:rPr>
      </w:pPr>
      <w:r>
        <w:rPr>
          <w:rFonts w:ascii="Century Gothic" w:hAnsi="Century Gothic" w:eastAsia="Century Gothic"/>
          <w:sz w:val="32"/>
        </w:rPr>
        <w:t xml:space="preserve">La première, c’est le calme absolu sur lequel règne cette propriété, ici pas de nuisance sonore liée au passage d’une route trop fréquentée, pas de nuisance visuelle non plus et cela ne risque pas de changer puisque vous êtes dans un secteur sauvegardé. Un véritable havre de paix.</w:t>
      </w:r>
    </w:p>
    <w:p>
      <w:pPr>
        <w:pStyle w:val="[Normal]"/>
        <w:jc w:val="center"/>
        <w:rPr>
          <w:rFonts w:ascii="Century Gothic" w:hAnsi="Century Gothic" w:eastAsia="Century Gothic"/>
          <w:sz w:val="32"/>
        </w:rPr>
      </w:pPr>
    </w:p>
    <w:p>
      <w:pPr>
        <w:pStyle w:val="[Normal]"/>
        <w:jc w:val="center"/>
        <w:rPr>
          <w:rFonts w:ascii="Century Gothic" w:hAnsi="Century Gothic" w:eastAsia="Century Gothic"/>
          <w:sz w:val="32"/>
        </w:rPr>
      </w:pPr>
      <w:r>
        <w:rPr>
          <w:rFonts w:ascii="Century Gothic" w:hAnsi="Century Gothic" w:eastAsia="Century Gothic"/>
          <w:sz w:val="32"/>
        </w:rPr>
        <w:t xml:space="preserve">La seconde, c’est l’unité foncière. Vous avez environ 12 hectares et d’un seul tenant ! Les corps de bâtiments qui composent le lieu sont pratiquement au centre de cette unité. Rarissime autour de Montignac. Ici donc pas de vis-à-vis, pas de voisin trop proche ou envahissant, on est suffisamment loin sans pour autant être isolé.</w:t>
      </w:r>
    </w:p>
    <w:p>
      <w:pPr>
        <w:pStyle w:val="[Normal]"/>
        <w:jc w:val="center"/>
        <w:rPr>
          <w:rFonts w:ascii="Century Gothic" w:hAnsi="Century Gothic" w:eastAsia="Century Gothic"/>
          <w:sz w:val="32"/>
        </w:rPr>
      </w:pPr>
    </w:p>
    <w:p>
      <w:pPr>
        <w:pStyle w:val="[Normal]"/>
        <w:jc w:val="center"/>
        <w:rPr>
          <w:rFonts w:ascii="Century Gothic" w:hAnsi="Century Gothic" w:eastAsia="Century Gothic"/>
          <w:sz w:val="32"/>
        </w:rPr>
      </w:pPr>
      <w:r>
        <w:rPr>
          <w:rFonts w:ascii="Century Gothic" w:hAnsi="Century Gothic" w:eastAsia="Century Gothic"/>
          <w:sz w:val="32"/>
        </w:rPr>
        <w:t xml:space="preserve">Le charme opère dès l’arrivée, au bout d’un long chemin vous arrivez sur le bati de la propriété composé, vous croiserez d’abord le bâtiment le plus récent servant aujourd’hui de rangement et construit dans le style sechoir à tabac, vous trouverez ensuite un premier logis en pierre qui demeure rustique mais habitable en l’état puis presque au même niveau lla grande maison centrale d’habitation à finir de renover, offrant de beaux volumes et un belle luminosité avec ces ouvertures de part et d’autres, vous trouverez enfin plusieurs autres dependances en pierre fermant la cour intérieur et faisant office de grange</w:t>
      </w:r>
    </w:p>
    <w:p>
      <w:pPr>
        <w:pStyle w:val="[Normal]"/>
        <w:jc w:val="center"/>
        <w:rPr>
          <w:rFonts w:ascii="Century Gothic" w:hAnsi="Century Gothic" w:eastAsia="Century Gothic"/>
          <w:sz w:val="32"/>
        </w:rPr>
      </w:pPr>
      <w:r>
        <w:rPr>
          <w:rFonts w:ascii="Century Gothic" w:hAnsi="Century Gothic" w:eastAsia="Century Gothic"/>
          <w:sz w:val="32"/>
        </w:rPr>
        <w:t xml:space="preserve">Tous les commerces sont à quelques kilometres.</w:t>
      </w:r>
    </w:p>
    <w:p>
      <w:pPr>
        <w:pStyle w:val="[Normal]"/>
        <w:jc w:val="center"/>
        <w:rPr>
          <w:rFonts w:ascii="Century Gothic" w:hAnsi="Century Gothic" w:eastAsia="Century Gothic"/>
          <w:sz w:val="32"/>
        </w:rPr>
      </w:pPr>
      <w:r>
        <w:rPr>
          <w:rFonts w:ascii="Century Gothic" w:hAnsi="Century Gothic" w:eastAsia="Century Gothic"/>
          <w:sz w:val="32"/>
        </w:rPr>
        <w:t xml:space="preserve">La rareté vous incitera à venir découvrir cette propriété.  </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auxquels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43200" cy="154305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743200" cy="154305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dji_fly_20230706_155618_698_1688651836264_photo_op</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59990" cy="185166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45999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PXL_20230706_140135752</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59990" cy="185166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45999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PXL_20230706_140240582</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59990" cy="185166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45999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PXL_20230706_135504646</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59990" cy="185166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45999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PXL_20230706_135549647</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59990" cy="185166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45999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PXL_20230706_135656085</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Maison Ancienne</w:t>
                  </w:r>
                </w:p>
                <w:p>
                  <w:pPr>
                    <w:pStyle w:val="Détail"/>
                    <w:numPr>
                      <w:ilvl w:val="0"/>
                      <w:numId w:val="3"/>
                    </w:numPr>
                    <w:ind w:left="646" w:right="283"/>
                  </w:pPr>
                  <w:r>
                    <w:t xml:space="preserve">Année const.: 1800</w:t>
                  </w:r>
                </w:p>
                <w:p>
                  <w:pPr>
                    <w:pStyle w:val="Détail"/>
                    <w:numPr>
                      <w:ilvl w:val="0"/>
                      <w:numId w:val="3"/>
                    </w:numPr>
                    <w:ind w:left="646" w:right="283"/>
                  </w:pPr>
                  <w:r>
                    <w:t xml:space="preserve">1 étage</w:t>
                  </w:r>
                </w:p>
                <w:p>
                  <w:pPr>
                    <w:pStyle w:val="Détail"/>
                    <w:numPr>
                      <w:ilvl w:val="0"/>
                      <w:numId w:val="3"/>
                    </w:numPr>
                    <w:ind w:left="646" w:right="283"/>
                  </w:pPr>
                  <w:r>
                    <w:t xml:space="preserve">Piscine </w:t>
                  </w:r>
                </w:p>
                <w:p>
                  <w:pPr>
                    <w:pStyle w:val="Détail"/>
                    <w:numPr>
                      <w:ilvl w:val="0"/>
                      <w:numId w:val="3"/>
                    </w:numPr>
                    <w:ind w:left="646" w:right="283"/>
                  </w:pPr>
                  <w:r>
                    <w:t xml:space="preserve">Mitoyenneté: Aucune</w:t>
                  </w:r>
                </w:p>
                <w:p>
                  <w:pPr>
                    <w:pStyle w:val="Détail"/>
                    <w:numPr>
                      <w:ilvl w:val="0"/>
                      <w:numId w:val="3"/>
                    </w:numPr>
                    <w:ind w:left="646" w:right="283"/>
                  </w:pPr>
                  <w:r>
                    <w:t xml:space="preserve">Disponibilité: A l'acte</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A restaurer</w:t>
                  </w:r>
                </w:p>
                <w:p>
                  <w:pPr>
                    <w:pStyle w:val="Détail"/>
                    <w:numPr>
                      <w:ilvl w:val="0"/>
                      <w:numId w:val="3"/>
                    </w:numPr>
                    <w:ind w:left="646" w:right="283"/>
                  </w:pPr>
                  <w:r>
                    <w:t xml:space="preserve">Surf. hab: 270 m²</w:t>
                  </w:r>
                </w:p>
                <w:p>
                  <w:pPr>
                    <w:pStyle w:val="Détail"/>
                    <w:numPr>
                      <w:ilvl w:val="0"/>
                      <w:numId w:val="3"/>
                    </w:numPr>
                    <w:ind w:left="646" w:right="283"/>
                  </w:pPr>
                  <w:r>
                    <w:t xml:space="preserve">Terrain: 121 120 m²</w:t>
                  </w:r>
                </w:p>
                <w:p>
                  <w:pPr>
                    <w:pStyle w:val="Détail"/>
                    <w:numPr>
                      <w:ilvl w:val="0"/>
                      <w:numId w:val="3"/>
                    </w:numPr>
                    <w:ind w:left="646" w:right="283"/>
                  </w:pPr>
                  <w:r>
                    <w:t xml:space="preserve">Séjour: 60 m²</w:t>
                  </w:r>
                </w:p>
                <w:p>
                  <w:pPr>
                    <w:pStyle w:val="Détail"/>
                    <w:numPr>
                      <w:ilvl w:val="0"/>
                      <w:numId w:val="3"/>
                    </w:numPr>
                    <w:ind w:left="646" w:right="283"/>
                  </w:pPr>
                  <w:r>
                    <w:t xml:space="preserve">Campagne non-isolée</w:t>
                  </w:r>
                </w:p>
                <w:p>
                  <w:pPr>
                    <w:pStyle w:val="Détail"/>
                    <w:numPr>
                      <w:ilvl w:val="0"/>
                      <w:numId w:val="3"/>
                    </w:numPr>
                    <w:ind w:left="646" w:right="283"/>
                  </w:pPr>
                  <w:r>
                    <w:t xml:space="preserve">Exposition: Sud</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4 chambres</w:t>
                  </w:r>
                </w:p>
                <w:p>
                  <w:pPr>
                    <w:pStyle w:val="Détail"/>
                    <w:numPr>
                      <w:ilvl w:val="0"/>
                      <w:numId w:val="3"/>
                    </w:numPr>
                    <w:ind w:left="646" w:right="283"/>
                  </w:pPr>
                  <w:r>
                    <w:t xml:space="preserve">1 s.d.b</w:t>
                  </w:r>
                </w:p>
                <w:p>
                  <w:pPr>
                    <w:pStyle w:val="Détail"/>
                    <w:numPr>
                      <w:ilvl w:val="0"/>
                      <w:numId w:val="3"/>
                    </w:numPr>
                    <w:ind w:left="646" w:right="283"/>
                  </w:pPr>
                  <w:r>
                    <w:t xml:space="preserve">1 salle d'eau</w:t>
                  </w:r>
                </w:p>
                <w:p>
                  <w:pPr>
                    <w:pStyle w:val="Détail"/>
                    <w:numPr>
                      <w:ilvl w:val="0"/>
                      <w:numId w:val="3"/>
                    </w:numPr>
                    <w:ind w:left="646" w:right="283"/>
                  </w:pPr>
                  <w:r>
                    <w:t xml:space="preserve">6 pièces</w:t>
                  </w:r>
                </w:p>
                <w:p>
                  <w:pPr>
                    <w:pStyle w:val="Détail"/>
                    <w:numPr>
                      <w:ilvl w:val="0"/>
                      <w:numId w:val="3"/>
                    </w:numPr>
                    <w:ind w:left="646" w:right="283"/>
                  </w:pPr>
                  <w:r>
                    <w:t xml:space="preserve">1 garage</w:t>
                  </w:r>
                </w:p>
                <w:p>
                  <w:pPr>
                    <w:pStyle w:val="Détail"/>
                    <w:numPr>
                      <w:ilvl w:val="0"/>
                      <w:numId w:val="3"/>
                    </w:numPr>
                    <w:ind w:left="646" w:right="283"/>
                  </w:pPr>
                  <w:r>
                    <w:t xml:space="preserve">10 parkings</w:t>
                  </w:r>
                </w:p>
                <w:p>
                  <w:pPr>
                    <w:pStyle w:val="Détail"/>
                    <w:numPr>
                      <w:ilvl w:val="0"/>
                      <w:numId w:val="3"/>
                    </w:numPr>
                    <w:ind w:left="646" w:right="283"/>
                  </w:pPr>
                  <w:r>
                    <w:t xml:space="preserve">Cuisine: Américaine Ouverte</w:t>
                  </w:r>
                </w:p>
                <w:p>
                  <w:pPr>
                    <w:pStyle w:val="Détail"/>
                    <w:numPr>
                      <w:ilvl w:val="0"/>
                      <w:numId w:val="3"/>
                    </w:numPr>
                    <w:ind w:left="646" w:right="283"/>
                  </w:pPr>
                  <w:r>
                    <w:t xml:space="preserve">Chauffage: Aucun</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Situation du bien:</w:t>
                  </w:r>
                </w:p>
                <w:p>
                  <w:pPr>
                    <w:pStyle w:val="Détail"/>
                    <w:numPr>
                      <w:ilvl w:val="0"/>
                      <w:numId w:val="4"/>
                    </w:numPr>
                  </w:pPr>
                  <w:r>
                    <w:t xml:space="preserve">Campagne non isolée Ensemble de plusieurs corps de batiments</w:t>
                  </w:r>
                </w:p>
                <w:p>
                  <w:pPr>
                    <w:pStyle w:val="Type de détail"/>
                  </w:pPr>
                  <w:r>
                    <w:t xml:space="preserve">DPE:</w:t>
                  </w:r>
                </w:p>
                <w:p>
                  <w:pPr>
                    <w:pStyle w:val="Détail"/>
                    <w:numPr>
                      <w:ilvl w:val="0"/>
                      <w:numId w:val="4"/>
                    </w:numPr>
                  </w:pPr>
                  <w:r>
                    <w:t xml:space="preserve">DPE vièrge</w:t>
                  </w:r>
                </w:p>
                <w:p>
                  <w:pPr>
                    <w:pStyle w:val="Type de détail"/>
                  </w:pPr>
                  <w:r>
                    <w:t xml:space="preserve">Services:</w:t>
                  </w:r>
                </w:p>
                <w:p>
                  <w:pPr>
                    <w:pStyle w:val="Détail"/>
                    <w:numPr>
                      <w:ilvl w:val="0"/>
                      <w:numId w:val="4"/>
                    </w:numPr>
                  </w:pPr>
                  <w:r>
                    <w:t xml:space="preserve">Ville la plus proche : Montignac</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Services (suite):</w:t>
                  </w:r>
                </w:p>
                <w:p>
                  <w:pPr>
                    <w:pStyle w:val="Détail"/>
                    <w:numPr>
                      <w:ilvl w:val="0"/>
                      <w:numId w:val="4"/>
                    </w:numPr>
                  </w:pPr>
                  <w:r>
                    <w:t xml:space="preserve">Calme</w:t>
                  </w:r>
                </w:p>
                <w:p>
                  <w:pPr>
                    <w:pStyle w:val="Détail"/>
                    <w:numPr>
                      <w:ilvl w:val="0"/>
                      <w:numId w:val="4"/>
                    </w:numPr>
                  </w:pPr>
                  <w:r>
                    <w:t xml:space="preserve">Dépendance</w:t>
                  </w:r>
                </w:p>
                <w:p>
                  <w:pPr>
                    <w:pStyle w:val="Détail"/>
                    <w:numPr>
                      <w:ilvl w:val="0"/>
                      <w:numId w:val="4"/>
                    </w:numPr>
                  </w:pPr>
                  <w:r>
                    <w:t xml:space="preserve">Secteur Sauvegardé</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7907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962150" cy="1790700"/>
                                </a:xfrm>
                                <a:prstGeom prst="rect">
                                  <a:avLst/>
                                </a:prstGeom>
                              </pic:spPr>
                            </pic:pic>
                          </a:graphicData>
                        </a:graphic>
                      </wp:inline>
                    </w:drawing>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w:t>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w:t>
                  </w: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b w:val="on"/>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4"/>
      <w:footerReference w:type="default" r:id="rId00015"/>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4" Type="http://schemas.openxmlformats.org/officeDocument/2006/relationships/header" Target="header0001.xml"/>
	<Relationship Id="rId00015"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6" Type="http://schemas.openxmlformats.org/officeDocument/2006/relationships/numbering" Target="numbering.xml"/>
	<Relationship Id="rId00017" Type="http://schemas.openxmlformats.org/officeDocument/2006/relationships/fontTable" Target="fontTable.xml"/>
	<Relationship Id="rId00018"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