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MP113562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381 600 €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Exclusivité. Propriété de caractère au calme à 5 minutes de MONTIGNAC-LASCAUX.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5897880" cy="45262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quelques minutes de MONTIGNAC-LASCAUX, cette propriété de caractère avec piscine est implantée sur un terrain d'environ 1,5 ha, sans voisin proche. Cette maison de vacances, offre environ 110 m² habitables répartis sur deux niveaux. Piscine de 10x5. Atelier/garage de 36 m². Belle situation. Au calme avec jolie vue.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KSPN0647.JPG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VPXK7737.JPG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IMG_3749.JPG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HSVW7133.JPG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ITOQ4887.JPG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IMG_3751.JPG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15 531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35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/wc de 10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20 m² avec cheminée et 1 de 22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/bureau de 10 m². Sol en parquet.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dans la tourelle.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/atelier de 36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seulement au rez de chaussée.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6x6.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1 400 €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