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Mme REED-GOGNIAT Annette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demeurant: Chemin de Bahyse 24, 1807 BLONAY, Suisse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Ensemble de bâtiments à rénover entièrement, cadastré aux numéros 1032 et 1034 section BC pour une contenance totale de 4200 m² sis: 18, route du Tunnel Végétal, 24120 TERRASSON.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70 000 €</w:t>
      </w:r>
      <w:r>
        <w:rPr>
          <w:rFonts w:ascii="Times New Roman" w:hAnsi="Times New Roman" w:eastAsia="Times New Roman"/>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4 200 €.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PIERRE ET LAUZES,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adjointre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24 octobre 2024</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b w:val="on"/>
          <w:sz w:val="36"/>
        </w:rPr>
        <w:t xml:space="preserve">               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widowControl w:val="on"/>
        <w:rPr>
          <w:rFonts w:ascii="Times New Roman" w:hAnsi="Times New Roman" w:eastAsia="Times New Roman"/>
          <w:i w:val="o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shd w:val="clear" w:fill="C0C0C0"/>
        </w:rPr>
        <w:t xml:space="preserve"> Mme REED GOGNIAT.                                      </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5,66% TTC soit 4 200 € </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généraleset particulièresdu mandat proposé, par la remise préalable qui lui a été faite d'un exemplaire.</w:t>
      </w:r>
    </w:p>
    <w:p>
      <w:pPr>
        <w:pStyle w:val="[Normal]"/>
        <w:widowControl w:val="on"/>
        <w:rPr>
          <w:rFonts w:ascii="Times New Roman" w:hAnsi="Times New Roman" w:eastAsia="Times New Roman"/>
          <w:b w:val="on"/>
          <w:sz w:val="20"/>
        </w:rPr>
      </w:pP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Fait à Montignac, le 24 octobre 2024, </w:t>
      </w:r>
      <w:r>
        <w:rPr>
          <w:rFonts w:ascii="Times New Roman" w:hAnsi="Times New Roman" w:eastAsia="Times New Roman"/>
          <w:sz w:val="20"/>
        </w:rPr>
        <w:t xml:space="preserve">En 2 exemplaires dont un remis à chacune des parties.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p>
      <w:pPr>
        <w:pStyle w:val="[Normal]"/>
        <w:widowControl w:val="on"/>
        <w:rPr>
          <w:rFonts w:ascii="Times New Roman" w:hAnsi="Times New Roman" w:eastAsia="Times New Roman"/>
          <w:sz w:val="20"/>
        </w:rPr>
      </w:pP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