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5 894</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DUPETY Jacky et Françoise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241 chemin de Pouzat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46320  LIVERNON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79 970 m² ,241 chemin de pouzat  46320 LIVERNON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370 000 €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14 800 €</w:t>
      </w:r>
      <w:r>
        <w:t xml:space="preserve"> </w:t>
      </w:r>
      <w:r>
        <w:rPr>
          <w:b w:val="on"/>
        </w:rPr>
        <w:t xml:space="preserve">TTC, soit 4,00%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Jacky et Françoise DUPETY</w:t>
      </w:r>
    </w:p>
    <w:p>
      <w:pPr>
        <w:pStyle w:val="[Normal]"/>
        <w:rPr>
          <w:rFonts w:ascii="Times New Roman" w:hAnsi="Times New Roman" w:eastAsia="Times New Roman"/>
          <w:b w:val="on"/>
          <w:sz w:val="22"/>
        </w:rPr>
      </w:pPr>
      <w:r>
        <w:rPr>
          <w:rFonts w:ascii="Times New Roman" w:hAnsi="Times New Roman" w:eastAsia="Times New Roman"/>
          <w:b w:val="on"/>
          <w:sz w:val="22"/>
        </w:rPr>
        <w:t xml:space="preserve">241 chemin de Pouzat 46320 LIVERNON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14 800 €</w:t>
      </w:r>
      <w:r>
        <w:t xml:space="preserve"> </w:t>
      </w:r>
      <w:r>
        <w:rPr>
          <w:b w:val="on"/>
        </w:rPr>
        <w:t xml:space="preserve">TTC, soit 4,00%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