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216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399 000 €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380 000 €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5,00%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86840" cy="1219835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18/04/2024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01/2021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1098 €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1486 €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FIGEAC  - 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FG3297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Dans un bel immeuble du centre historique de Figeac, 2 appartements proposant :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Un T2 en rez de chaussée, ayant fait l'objet d'une très belle rénovaton récente, d'environ 65 m² et composé d'une pièce de vie avec une magnifique cuisine équipée et une chambre avec salle d'eau en demi niveau.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Un duplex au 1er étage offre sur 151 m² une belle cuisine dinatoire, un salon, 3 chambres, une salle de bain et un bel espace patio.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Cet ensemble a fait l'objet d'une rénovation récente (iolation, double vitrage, chauffage)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Les 2 appartements communiquent mais ont 2 entrées indépendantes, laissant la possibilité d'être exploités en location ou en local professionnel pour le T2.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auquel ce bien est exposé sont disponibles sur le site Géorisques www.georisques.gouv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 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