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FG3282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et Madame  BORE Emmanuel et Hélène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7 avenue de Madagascar / Euronat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33590  GRAYAN-ET-L'HOPITAL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2 720 m² , Les Prades  46120 LE BOURG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TRENTE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230 000 €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11 500 €</w:t>
      </w:r>
      <w:r>
        <w:t xml:space="preserve"> </w:t>
      </w:r>
      <w:r>
        <w:rPr>
          <w:b w:val="on"/>
        </w:rPr>
        <w:t xml:space="preserve">TTC, soit 5,00%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7"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8"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9"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3"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4"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5"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Monsieur et Madame Emmanuel et Hélène BORE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7 avenue de Madagascar / Euronat 33590 GRAYAN-ET-L'HOPITAL </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11 500 €</w:t>
      </w:r>
      <w:r>
        <w:t xml:space="preserve"> </w:t>
      </w:r>
      <w:r>
        <w:rPr>
          <w:b w:val="on"/>
        </w:rPr>
        <w:t xml:space="preserve">TTC, soit 5,00%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