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7032"/>
        <w:gridCol w:w="6346"/>
      </w:tblGrid>
      <w:tr>
        <w:tc>
          <w:tcPr>
            <w:tcW w:w="17032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6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6"/>
              </w:rPr>
            </w:pPr>
            <w:r>
              <w:drawing>
                <wp:inline distT="0" distB="0" distL="0" distR="0">
                  <wp:extent cx="9772650" cy="549402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0" cy="549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  <w:r>
              <w:drawing>
                <wp:inline distT="0" distB="0" distL="0" distR="0">
                  <wp:extent cx="1499235" cy="4572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</w:tc>
      </w:tr>
      <w:tr>
        <w:tc>
          <w:tcPr>
            <w:tcW w:w="17032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6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hd w:val="clear" w:fill="FFFFFF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990134"/>
                <w:sz w:val="48"/>
                <w:shd w:val="clear" w:fill="FFFFFF"/>
              </w:rPr>
              <w:t xml:space="preserve">Région FIGEAC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40"/>
                <w:shd w:val="clear" w:fill="FFFFFF"/>
              </w:rPr>
              <w:t xml:space="preserve">Maison Ancienne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  420 000 €</w:t>
            </w:r>
            <w:r>
              <w:rPr>
                <w:rFonts w:ascii="Century Gothic" w:hAnsi="Century Gothic" w:eastAsia="Century Gothic"/>
                <w:sz w:val="40"/>
                <w:shd w:val="clear" w:fill="990134"/>
              </w:rPr>
              <w:t xml:space="preserve"> </w:t>
            </w:r>
            <w:r>
              <w:rPr>
                <w:rFonts w:ascii="Century Gothic" w:hAnsi="Century Gothic" w:eastAsia="Century Gothic"/>
                <w:b w:val="on"/>
                <w:color w:val="FFFFFF"/>
                <w:sz w:val="40"/>
                <w:shd w:val="clear" w:fill="990134"/>
              </w:rPr>
              <w:t xml:space="preserve">H.A.I *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b w:val="on"/>
                <w:sz w:val="22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Prix honoraires exclus : 400 000 € </w:t>
            </w:r>
          </w:p>
          <w:p>
            <w:pPr>
              <w:pStyle w:val="[Normal]"/>
              <w:ind w:left="81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b w:val="on"/>
                <w:sz w:val="22"/>
              </w:rPr>
              <w:t xml:space="preserve">* Honoraires charge acquéreur : 5,00% TTC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  <w:shd w:val="clear" w:fill="990134"/>
              </w:rPr>
            </w:pP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Ensemble immobilier exceptionnel, cette belle propriété quercynoise tout en pierre a su garder son authenticité. Elle est implantée sur un terrain de presque 1 ha dans un cadre nature donnant sur la vallée du Lot, sans voisins proches et à moins de 10 km de FIGEAC. Elle offre un minimum de 215 m² habitables pour une surface au sol de plus de 300 m².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Maison :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Rez-de-chaussée : Entrée sur un grand séjour-salon de 56 m² avec une belle "souillarde", chambre et salle de bain.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Rez-de-jardin : pièce de vie salle à manger d'environ 50 m² donnant sur une magnifique terrasse avec vue, cuisine, cellier, WC.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Etage : 3 chambres dont une dans le pigeonnier, une pièce de détente commune, salle de bain.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Une grange en pierre, offre en rez-de-chaussée 80 m² accessible pour tout véhicule et en rez-de-jardin 70 m² pour son ancienne étable avec ses mangeoires et le sol en pierres.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Four à pain et puits bâti complètent l'ensemble.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</w:pPr>
            <w:r>
              <w:rPr>
                <w:rFonts w:ascii="Century Gothic" w:hAnsi="Century Gothic" w:eastAsia="Century Gothic"/>
                <w:b w:val="on"/>
                <w:color w:val="000000"/>
                <w:sz w:val="28"/>
                <w:shd w:val="clear" w:fill="FFFFFF"/>
              </w:rPr>
              <w:t xml:space="preserve">Terrain légèrement en pente, bien exposé et essentiellement en prairie. </w:t>
            </w:r>
          </w:p>
          <w:p>
            <w:pPr>
              <w:pStyle w:val="[Normal]"/>
              <w:ind w:left="109"/>
              <w:jc w:val="both"/>
              <w:rPr>
                <w:rFonts w:ascii="Century Gothic" w:hAnsi="Century Gothic" w:eastAsia="Century Gothic"/>
                <w:sz w:val="22"/>
                <w:shd w:val="clear" w:fill="990134"/>
              </w:rPr>
            </w:pPr>
            <w:r>
              <w:rPr>
                <w:rFonts w:ascii="Century Gothic" w:hAnsi="Century Gothic" w:eastAsia="Century Gothic"/>
                <w:color w:val="000000"/>
                <w:sz w:val="28"/>
                <w:shd w:val="clear" w:fill="FFFFFF"/>
              </w:rPr>
              <w:t xml:space="preserve">Les informations sur les risques auxquels ce bien est exposé sont disponibles sur le site Géorisques: www.georisques.gouv.fr</w:t>
            </w:r>
          </w:p>
        </w:tc>
      </w:tr>
      <w:tr>
        <w:tc>
          <w:tcPr>
            <w:tcW w:w="17032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color w:val="000000"/>
                <w:sz w:val="6"/>
                <w:shd w:val="clear" w:fill="FFFFFF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wrapSquare wrapText="bothSides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wrapSquare wrapText="bothSides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8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6"/>
                      <w:shd w:val="clear" w:fill="FFFFFF"/>
                    </w:rPr>
                    <w:t xml:space="preserve">Ref : FG3252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4</w:t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</w:t>
                  </w:r>
                </w:p>
              </w:tc>
              <w:tc>
                <w:tcPr>
                  <w:tcW w:w="2211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215</w:t>
                  </w:r>
                  <w:r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m²</w:t>
                  </w:r>
                </w:p>
              </w:tc>
              <w:tc>
                <w:tcPr>
                  <w:tcW w:w="215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9560 m²</w:t>
                  </w:r>
                </w:p>
              </w:tc>
              <w:tc>
                <w:tcPr>
                  <w:tcW w:w="3019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00"/>
                      <w:sz w:val="28"/>
                      <w:shd w:val="clear" w:fill="FFFFFF"/>
                    </w:rPr>
                    <w:t xml:space="preserve">1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36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 w:val="on"/>
                      <w:sz w:val="32"/>
                    </w:rPr>
                    <w:t xml:space="preserve">     </w:t>
                  </w:r>
                  <w:r>
                    <w:rPr>
                      <w:rFonts w:ascii="Century Gothic" w:hAnsi="Century Gothic" w:eastAsia="Century Gothic"/>
                      <w:b w:val="on"/>
                      <w:sz w:val="26"/>
                    </w:rPr>
                    <w:t xml:space="preserve">      Scannez moi !</w:t>
                  </w:r>
                </w:p>
              </w:tc>
            </w:tr>
            <w:tr>
              <w:tc>
                <w:tcPr>
                  <w:tcW w:w="284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hd w:val="clear" w:fill="FFFFFF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0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4" w:type="dxa"/>
                  <w:gridSpan w:val="3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Date de réalisation DPE :  10/01/2023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Année de référence :  01/01/2021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bas (dépenses énergétiques) : 2480 €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8"/>
                      <w:shd w:val="clear" w:fill="FFFFFF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26"/>
                      <w:shd w:val="clear" w:fill="FFFFFF"/>
                    </w:rPr>
                  </w:pPr>
                  <w:r>
                    <w:rPr>
                      <w:rFonts w:ascii="Century Gothic" w:hAnsi="Century Gothic" w:eastAsia="Century Gothic"/>
                      <w:color w:val="000000"/>
                      <w:sz w:val="22"/>
                      <w:shd w:val="clear" w:fill="FFFFFF"/>
                    </w:rPr>
                    <w:t xml:space="preserve">Montant haut (dépenses énergétiques) : 3400 €</w:t>
                  </w:r>
                </w:p>
              </w:tc>
              <w:tc>
                <w:tcPr>
                  <w:tcW w:w="38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color w:val="000000"/>
                      <w:sz w:val="28"/>
                      <w:shd w:val="clear" w:fill="FFFFFF"/>
                    </w:rPr>
                  </w:pPr>
                  <w:r>
                    <w:drawing>
                      <wp:inline distT="0" distB="0" distL="0" distR="0">
                        <wp:extent cx="1857375" cy="18573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  <w:shd w:val="clear" w:fill="990134"/>
              </w:rPr>
            </w:pPr>
          </w:p>
        </w:tc>
        <w:tc>
          <w:tcPr>
            <w:tcW w:w="6346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[Normal]"/>
        <w:rPr>
          <w:rFonts w:ascii="Century Gothic" w:hAnsi="Century Gothic" w:eastAsia="Century Gothic"/>
          <w:sz w:val="8"/>
          <w:shd w:val="clear" w:fill="990134"/>
        </w:rPr>
      </w:pPr>
    </w:p>
    <w:sectPr>
      <w:headerReference w:type="default" r:id="rId00015"/>
      <w:footerReference w:type="default" r:id="rId00016"/>
      <w:pgSz w:w="23811" w:h="16838" w:orient="landscape"/>
      <w:pgMar w:top="397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5" Type="http://schemas.openxmlformats.org/officeDocument/2006/relationships/header" Target="header0001.xml"/>
	<Relationship Id="rId00016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7" Type="http://schemas.openxmlformats.org/officeDocument/2006/relationships/numbering" Target="numbering.xml"/>
	<Relationship Id="rId00018" Type="http://schemas.openxmlformats.org/officeDocument/2006/relationships/fontTable" Target="fontTable.xml"/>
	<Relationship Id="rId0001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