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142240</wp:posOffset>
                  </wp:positionH>
                  <wp:positionV relativeFrom="paragraph">
                    <wp:posOffset>74930</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sz w:val="1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5 861</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Messieurs  LEGATHE René et Jean-Claude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9 allées de la butte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91240  SAINT-MICHEL-SUR-ORGE  FRANCE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avec terrain attenant de 3642 m² , 227 route du Pinquié  46100 CAMBURAT et terrains non attennants constitués de 9 parcelles pour une surface globlale de 22 913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4 800 €</w:t>
      </w:r>
      <w:r>
        <w:t xml:space="preserve"> </w:t>
      </w:r>
      <w:r>
        <w:rPr>
          <w:b w:val="on"/>
        </w:rPr>
        <w:t xml:space="preserve">TTC, soit 9,60%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Messieurs René et Jean-Claude LEGATHE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9 allées de la butte 91240 SAINT-MICHEL-SUR-ORGE FRANCE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4 800 €</w:t>
      </w:r>
      <w:r>
        <w:t xml:space="preserve"> </w:t>
      </w:r>
      <w:r>
        <w:rPr>
          <w:b w:val="on"/>
        </w:rPr>
        <w:t xml:space="preserve">TTC, soit 9,60%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