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24256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Patrice et Malika GAMBINO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0618033039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FG3271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5 860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mas de Laurensou 46320 GREZES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262 500 €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3 mai 2023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