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2 112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Messieurs  ABADIE/LORANGE Emmanuel et Frédéric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46500  REILHAC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GOURDON- Immeubles de rapport en pierre au 34 rue du MAJOU   46300</w:t>
      </w:r>
      <w:r>
        <w:rPr>
          <w:rFonts w:ascii="Times New Roman" w:hAnsi="Times New Roman" w:eastAsia="Times New Roman"/>
          <w:sz w:val="22"/>
        </w:rPr>
        <w:t xml:space="preserve"> </w:t>
      </w:r>
      <w:r>
        <w:rPr>
          <w:rFonts w:ascii="Times New Roman" w:hAnsi="Times New Roman" w:eastAsia="Times New Roman"/>
          <w:b w:val="on"/>
          <w:sz w:val="28"/>
        </w:rPr>
        <w:t xml:space="preserve">GOURDON comprenant quatre (4) logements, le tout figurant au cadastre de cette commune: AH 46 &amp; 47 pour 01a 37ca.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Les immeubles comprenant: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DIX-SEPT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€ 217 000 €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Préférence : </w:t>
      </w:r>
      <w:r>
        <w:rPr>
          <w:rFonts w:ascii="Times New Roman" w:hAnsi="Times New Roman" w:eastAsia="Times New Roman"/>
          <w:b w:val="on"/>
          <w:sz w:val="18"/>
          <w:shd w:val="clear" w:fill="C0C0C0"/>
        </w:rPr>
        <w:t xml:space="preserve"> 13 000 €   € TTC soit 5,65%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13 000 €    € TTC soit 5,65%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Messieurs Emanuel et Frédéric ABADIE/LORANGE</w:t>
      </w:r>
    </w:p>
    <w:p>
      <w:pPr>
        <w:pStyle w:val="[Normal]"/>
        <w:widowControl w:val="on"/>
        <w:rPr>
          <w:b w:val="on"/>
          <w:sz w:val="20"/>
        </w:rPr>
      </w:pPr>
      <w:r>
        <w:rPr>
          <w:b w:val="on"/>
          <w:sz w:val="20"/>
        </w:rPr>
        <w:t xml:space="preserve"> 46500 REILHAC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5,65% TTC soit 13 000 €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