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28"/>
        </w:rPr>
        <w:t xml:space="preserve"> TAXE FONCI7RE 1850€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CAHORS 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395 200 €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GD2000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CAHORS - Maison atypique sur 1ha avec vue panoramique et piscine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local technique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avec magnifique vue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avec lave-mains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Bureau avec vue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dont 2 avec salle d'eau wc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Salles d'eau wc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Abri jardin bois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130,00 KWHep/m²an 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37,00 Kgco2/m²an 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27/11/2023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 par le sol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5 kms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imprenable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Allée privée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10 x 5 au sel - liner - plages et terrasse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panoramique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51960" cy="318897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96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CAHORS - Sur plus d'1ha en partie boisé avec piscine, cette Maison d'architecte atypique - construction ronde édifiée sur 3 niveaux -  bénéficie d'une situation privilégiée et indépendante avec vue imprenable panoramique sur la vallée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Environ 145 m² habitables. RDJ. Local technique piscine, chaufferie, rangement, cave. RDC. Grand hall d'entrée et espace salon, wc avec lave-mains, vestiaire, séjour salon en demiècercle, salle à manger avec accès terrasse, cuisine, cellier et buanderie. Etage. Grand bureau avec vue, 3 chambres, 2 salles d'eau wc.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fuel par le sol. Fosse septique.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de 10 x 5 - liner - plages et terrasse. Abri de jardin bois. 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19425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86100" cy="2314575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145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11 057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4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3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Fuel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Traditionnel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1989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